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8FFFB" w14:textId="03FF5307" w:rsidR="00F934D7" w:rsidRDefault="00F934D7" w:rsidP="00F934D7">
      <w:pPr>
        <w:pStyle w:val="SIHeading2"/>
      </w:pPr>
      <w:r>
        <w:t>Appendix 4:</w:t>
      </w:r>
    </w:p>
    <w:p w14:paraId="4E3343B2" w14:textId="4A105ED7" w:rsidR="00F934D7" w:rsidRPr="00470378" w:rsidRDefault="00F934D7" w:rsidP="000A1FFA">
      <w:pPr>
        <w:pStyle w:val="SIHeading2"/>
      </w:pPr>
      <w:r>
        <w:t>E</w:t>
      </w:r>
      <w:r w:rsidRPr="00470378">
        <w:t xml:space="preserve">xemplar of key functional areas and units for AMP30815 </w:t>
      </w:r>
    </w:p>
    <w:tbl>
      <w:tblPr>
        <w:tblStyle w:val="TableGrid"/>
        <w:tblW w:w="15451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4C7D2C" w:themeColor="accent5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75"/>
        <w:gridCol w:w="3050"/>
        <w:gridCol w:w="4477"/>
        <w:gridCol w:w="3362"/>
        <w:gridCol w:w="2787"/>
      </w:tblGrid>
      <w:tr w:rsidR="00F934D7" w:rsidRPr="00470378" w14:paraId="02CFA03C" w14:textId="77777777" w:rsidTr="002260B1">
        <w:trPr>
          <w:tblHeader/>
        </w:trPr>
        <w:tc>
          <w:tcPr>
            <w:tcW w:w="1775" w:type="dxa"/>
            <w:tcBorders>
              <w:top w:val="single" w:sz="18" w:space="0" w:color="4C7D2C" w:themeColor="accent5"/>
              <w:bottom w:val="single" w:sz="18" w:space="0" w:color="4C7D2C" w:themeColor="accent5"/>
            </w:tcBorders>
            <w:vAlign w:val="center"/>
          </w:tcPr>
          <w:p w14:paraId="5E30EB99" w14:textId="77777777" w:rsidR="00F934D7" w:rsidRPr="00895023" w:rsidRDefault="00F934D7" w:rsidP="00FF5474">
            <w:pPr>
              <w:pStyle w:val="SITableHeading1"/>
              <w:spacing w:before="40" w:afterLines="40" w:after="96"/>
              <w:rPr>
                <w:b w:val="0"/>
                <w:bCs/>
              </w:rPr>
            </w:pPr>
            <w:r w:rsidRPr="00895023">
              <w:rPr>
                <w:b w:val="0"/>
                <w:bCs/>
              </w:rPr>
              <w:t>Functional areas</w:t>
            </w:r>
          </w:p>
        </w:tc>
        <w:tc>
          <w:tcPr>
            <w:tcW w:w="3050" w:type="dxa"/>
            <w:tcBorders>
              <w:top w:val="single" w:sz="18" w:space="0" w:color="4C7D2C" w:themeColor="accent5"/>
              <w:bottom w:val="single" w:sz="18" w:space="0" w:color="4C7D2C" w:themeColor="accent5"/>
            </w:tcBorders>
            <w:vAlign w:val="center"/>
          </w:tcPr>
          <w:p w14:paraId="15CB4119" w14:textId="77777777" w:rsidR="00F934D7" w:rsidRPr="00895023" w:rsidRDefault="00F934D7" w:rsidP="00FF5474">
            <w:pPr>
              <w:pStyle w:val="SITableHeading1"/>
              <w:spacing w:before="40" w:afterLines="40" w:after="96"/>
              <w:rPr>
                <w:b w:val="0"/>
                <w:bCs/>
              </w:rPr>
            </w:pPr>
            <w:r w:rsidRPr="00895023">
              <w:rPr>
                <w:b w:val="0"/>
                <w:bCs/>
              </w:rPr>
              <w:t>Knowledge clusters</w:t>
            </w:r>
          </w:p>
        </w:tc>
        <w:tc>
          <w:tcPr>
            <w:tcW w:w="4477" w:type="dxa"/>
            <w:tcBorders>
              <w:top w:val="single" w:sz="18" w:space="0" w:color="4C7D2C" w:themeColor="accent5"/>
              <w:bottom w:val="single" w:sz="18" w:space="0" w:color="4C7D2C" w:themeColor="accent5"/>
            </w:tcBorders>
            <w:vAlign w:val="center"/>
          </w:tcPr>
          <w:p w14:paraId="318D20DE" w14:textId="77777777" w:rsidR="00F934D7" w:rsidRPr="00895023" w:rsidRDefault="00F934D7" w:rsidP="00FF5474">
            <w:pPr>
              <w:pStyle w:val="SITableHeading1"/>
              <w:spacing w:before="40" w:afterLines="40" w:after="96"/>
              <w:rPr>
                <w:b w:val="0"/>
                <w:bCs/>
              </w:rPr>
            </w:pPr>
            <w:r w:rsidRPr="00895023">
              <w:rPr>
                <w:b w:val="0"/>
                <w:bCs/>
              </w:rPr>
              <w:t>Skills clusters</w:t>
            </w:r>
          </w:p>
        </w:tc>
        <w:tc>
          <w:tcPr>
            <w:tcW w:w="3362" w:type="dxa"/>
            <w:tcBorders>
              <w:top w:val="single" w:sz="18" w:space="0" w:color="4C7D2C" w:themeColor="accent5"/>
              <w:bottom w:val="single" w:sz="18" w:space="0" w:color="4C7D2C" w:themeColor="accent5"/>
            </w:tcBorders>
            <w:vAlign w:val="center"/>
          </w:tcPr>
          <w:p w14:paraId="0E32B4C0" w14:textId="64BD381B" w:rsidR="00F934D7" w:rsidRPr="00895023" w:rsidRDefault="001D1C13" w:rsidP="00FF5474">
            <w:pPr>
              <w:pStyle w:val="SITableHeading1"/>
              <w:spacing w:before="40" w:afterLines="40" w:after="96"/>
              <w:rPr>
                <w:b w:val="0"/>
                <w:bCs/>
              </w:rPr>
            </w:pPr>
            <w:r w:rsidRPr="00895023">
              <w:rPr>
                <w:b w:val="0"/>
                <w:bCs/>
              </w:rPr>
              <w:t>Relevant units</w:t>
            </w:r>
          </w:p>
        </w:tc>
        <w:tc>
          <w:tcPr>
            <w:tcW w:w="2787" w:type="dxa"/>
            <w:tcBorders>
              <w:top w:val="single" w:sz="18" w:space="0" w:color="4C7D2C" w:themeColor="accent5"/>
              <w:bottom w:val="single" w:sz="18" w:space="0" w:color="4C7D2C" w:themeColor="accent5"/>
            </w:tcBorders>
            <w:vAlign w:val="center"/>
          </w:tcPr>
          <w:p w14:paraId="4A4CE3E5" w14:textId="516AEFE7" w:rsidR="00F934D7" w:rsidRPr="00895023" w:rsidRDefault="008A7EE3" w:rsidP="00FF5474">
            <w:pPr>
              <w:pStyle w:val="SITableHeading1"/>
              <w:spacing w:before="40" w:afterLines="40" w:after="96"/>
              <w:rPr>
                <w:b w:val="0"/>
                <w:bCs/>
              </w:rPr>
            </w:pPr>
            <w:r w:rsidRPr="00895023">
              <w:rPr>
                <w:b w:val="0"/>
                <w:bCs/>
              </w:rPr>
              <w:t xml:space="preserve">Connections to </w:t>
            </w:r>
            <w:r w:rsidR="00F934D7" w:rsidRPr="00895023">
              <w:rPr>
                <w:b w:val="0"/>
                <w:bCs/>
              </w:rPr>
              <w:t>Smallgoods Manufacture</w:t>
            </w:r>
          </w:p>
        </w:tc>
      </w:tr>
      <w:tr w:rsidR="00F934D7" w:rsidRPr="00470378" w14:paraId="2914B70E" w14:textId="77777777" w:rsidTr="002260B1">
        <w:tc>
          <w:tcPr>
            <w:tcW w:w="1775" w:type="dxa"/>
            <w:tcBorders>
              <w:top w:val="single" w:sz="18" w:space="0" w:color="4C7D2C" w:themeColor="accent5"/>
              <w:bottom w:val="single" w:sz="18" w:space="0" w:color="4C7D2C" w:themeColor="accent5"/>
            </w:tcBorders>
          </w:tcPr>
          <w:p w14:paraId="7242E1AE" w14:textId="77777777" w:rsidR="00F934D7" w:rsidRPr="00470378" w:rsidRDefault="00F934D7" w:rsidP="00C73AD1">
            <w:pPr>
              <w:pStyle w:val="SITableHeading2"/>
              <w:spacing w:before="40" w:afterLines="40" w:after="96"/>
              <w:rPr>
                <w:lang w:eastAsia="en-AU"/>
              </w:rPr>
            </w:pPr>
            <w:r w:rsidRPr="00470378">
              <w:rPr>
                <w:lang w:eastAsia="en-AU"/>
              </w:rPr>
              <w:t>Working in the meat industry</w:t>
            </w:r>
          </w:p>
        </w:tc>
        <w:tc>
          <w:tcPr>
            <w:tcW w:w="3050" w:type="dxa"/>
            <w:tcBorders>
              <w:top w:val="single" w:sz="18" w:space="0" w:color="4C7D2C" w:themeColor="accent5"/>
            </w:tcBorders>
          </w:tcPr>
          <w:p w14:paraId="0AD8BFC9" w14:textId="77777777" w:rsidR="00F934D7" w:rsidRPr="00470378" w:rsidRDefault="00F934D7" w:rsidP="00C73AD1">
            <w:pPr>
              <w:pStyle w:val="SITableBody"/>
              <w:spacing w:before="40" w:afterLines="40" w:after="96"/>
              <w:rPr>
                <w:lang w:eastAsia="en-AU"/>
              </w:rPr>
            </w:pPr>
            <w:r w:rsidRPr="00470378">
              <w:rPr>
                <w:lang w:eastAsia="en-AU"/>
              </w:rPr>
              <w:t>Stakeholders from paddock to plate</w:t>
            </w:r>
          </w:p>
          <w:p w14:paraId="384237E5" w14:textId="77777777" w:rsidR="00F934D7" w:rsidRPr="00470378" w:rsidRDefault="00F934D7" w:rsidP="00C73AD1">
            <w:pPr>
              <w:pStyle w:val="SITableBody"/>
              <w:spacing w:before="40" w:afterLines="40" w:after="96"/>
              <w:rPr>
                <w:lang w:eastAsia="en-AU"/>
              </w:rPr>
            </w:pPr>
            <w:r w:rsidRPr="00470378">
              <w:rPr>
                <w:lang w:eastAsia="en-AU"/>
              </w:rPr>
              <w:t>Industry structures</w:t>
            </w:r>
          </w:p>
          <w:p w14:paraId="5F6716AB" w14:textId="77777777" w:rsidR="00F934D7" w:rsidRPr="00470378" w:rsidRDefault="00F934D7" w:rsidP="00C73AD1">
            <w:pPr>
              <w:pStyle w:val="SITableBody"/>
              <w:spacing w:before="40" w:afterLines="40" w:after="96"/>
              <w:rPr>
                <w:lang w:eastAsia="en-AU"/>
              </w:rPr>
            </w:pPr>
            <w:r w:rsidRPr="00470378">
              <w:rPr>
                <w:lang w:eastAsia="en-AU"/>
              </w:rPr>
              <w:t>Careers and progression</w:t>
            </w:r>
          </w:p>
          <w:p w14:paraId="10DD8D18" w14:textId="77777777" w:rsidR="00F934D7" w:rsidRPr="00470378" w:rsidRDefault="00F934D7" w:rsidP="00C73AD1">
            <w:pPr>
              <w:pStyle w:val="SITableBody"/>
              <w:spacing w:before="40" w:afterLines="40" w:after="96"/>
              <w:rPr>
                <w:lang w:eastAsia="en-AU"/>
              </w:rPr>
            </w:pPr>
            <w:r w:rsidRPr="00470378">
              <w:rPr>
                <w:lang w:eastAsia="en-AU"/>
              </w:rPr>
              <w:t xml:space="preserve">HACCP principles  </w:t>
            </w:r>
          </w:p>
          <w:p w14:paraId="1E7A8592" w14:textId="77777777" w:rsidR="00F934D7" w:rsidRPr="00470378" w:rsidRDefault="00F934D7" w:rsidP="00C73AD1">
            <w:pPr>
              <w:pStyle w:val="SITableBody"/>
              <w:spacing w:before="40" w:afterLines="40" w:after="96"/>
              <w:rPr>
                <w:lang w:eastAsia="en-AU"/>
              </w:rPr>
            </w:pPr>
            <w:r w:rsidRPr="00470378">
              <w:rPr>
                <w:lang w:eastAsia="en-AU"/>
              </w:rPr>
              <w:t xml:space="preserve">Food safety standards and legislation,   </w:t>
            </w:r>
          </w:p>
          <w:p w14:paraId="5D630030" w14:textId="77777777" w:rsidR="00F934D7" w:rsidRPr="00470378" w:rsidRDefault="00F934D7" w:rsidP="00C73AD1">
            <w:pPr>
              <w:pStyle w:val="SITableBody"/>
              <w:spacing w:before="40" w:afterLines="40" w:after="96"/>
              <w:rPr>
                <w:lang w:eastAsia="en-AU"/>
              </w:rPr>
            </w:pPr>
            <w:r w:rsidRPr="00470378">
              <w:rPr>
                <w:lang w:eastAsia="en-AU"/>
              </w:rPr>
              <w:t xml:space="preserve">Allergen management,   </w:t>
            </w:r>
          </w:p>
          <w:p w14:paraId="3A0B1C96" w14:textId="77777777" w:rsidR="00F934D7" w:rsidRPr="00470378" w:rsidRDefault="00F934D7" w:rsidP="00C73AD1">
            <w:pPr>
              <w:pStyle w:val="SITableBody"/>
              <w:spacing w:before="40" w:afterLines="40" w:after="96"/>
              <w:rPr>
                <w:lang w:eastAsia="en-AU"/>
              </w:rPr>
            </w:pPr>
            <w:r w:rsidRPr="00470378">
              <w:rPr>
                <w:lang w:eastAsia="en-AU"/>
              </w:rPr>
              <w:t xml:space="preserve">Temperature control principles  </w:t>
            </w:r>
          </w:p>
          <w:p w14:paraId="57547697" w14:textId="77777777" w:rsidR="00F934D7" w:rsidRPr="00470378" w:rsidRDefault="00F934D7" w:rsidP="00C73AD1">
            <w:pPr>
              <w:pStyle w:val="SITableBody"/>
              <w:spacing w:before="40" w:afterLines="40" w:after="96"/>
              <w:rPr>
                <w:lang w:eastAsia="en-AU"/>
              </w:rPr>
            </w:pPr>
            <w:r w:rsidRPr="00470378">
              <w:rPr>
                <w:lang w:eastAsia="en-AU"/>
              </w:rPr>
              <w:t xml:space="preserve">Contamination risks  </w:t>
            </w:r>
          </w:p>
          <w:p w14:paraId="5E565F5D" w14:textId="77777777" w:rsidR="00F934D7" w:rsidRPr="00470378" w:rsidRDefault="00F934D7" w:rsidP="00C73AD1">
            <w:pPr>
              <w:pStyle w:val="SITableBody"/>
              <w:spacing w:before="40" w:afterLines="40" w:after="96"/>
              <w:rPr>
                <w:lang w:eastAsia="en-AU"/>
              </w:rPr>
            </w:pPr>
            <w:r w:rsidRPr="00470378">
              <w:rPr>
                <w:lang w:eastAsia="en-AU"/>
              </w:rPr>
              <w:t xml:space="preserve">Cleaning and sanitation procedures  </w:t>
            </w:r>
          </w:p>
          <w:p w14:paraId="32954AD4" w14:textId="77777777" w:rsidR="00F934D7" w:rsidRPr="00470378" w:rsidRDefault="00F934D7" w:rsidP="00C73AD1">
            <w:pPr>
              <w:pStyle w:val="SITableBody"/>
              <w:spacing w:before="40" w:afterLines="40" w:after="96"/>
              <w:rPr>
                <w:lang w:eastAsia="en-AU"/>
              </w:rPr>
            </w:pPr>
            <w:r w:rsidRPr="00470378">
              <w:rPr>
                <w:lang w:eastAsia="en-AU"/>
              </w:rPr>
              <w:t xml:space="preserve">Traceability systems  </w:t>
            </w:r>
          </w:p>
          <w:p w14:paraId="24646AE7" w14:textId="77777777" w:rsidR="00F934D7" w:rsidRPr="00470378" w:rsidRDefault="00F934D7" w:rsidP="00C73AD1">
            <w:pPr>
              <w:pStyle w:val="SITableBody"/>
              <w:spacing w:before="40" w:afterLines="40" w:after="96"/>
              <w:rPr>
                <w:lang w:eastAsia="en-AU"/>
              </w:rPr>
            </w:pPr>
            <w:r w:rsidRPr="00470378">
              <w:rPr>
                <w:lang w:eastAsia="en-AU"/>
              </w:rPr>
              <w:t>Quality assurance systems</w:t>
            </w:r>
          </w:p>
          <w:p w14:paraId="3B65E920" w14:textId="77777777" w:rsidR="00F934D7" w:rsidRPr="00470378" w:rsidRDefault="00F934D7" w:rsidP="00C73AD1">
            <w:pPr>
              <w:pStyle w:val="SITableBody"/>
              <w:spacing w:before="40" w:afterLines="40" w:after="96"/>
            </w:pPr>
          </w:p>
        </w:tc>
        <w:tc>
          <w:tcPr>
            <w:tcW w:w="4477" w:type="dxa"/>
            <w:tcBorders>
              <w:top w:val="single" w:sz="18" w:space="0" w:color="4C7D2C" w:themeColor="accent5"/>
            </w:tcBorders>
          </w:tcPr>
          <w:p w14:paraId="4FAD35DC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Applying HACCP-based procedures in day-to-day tasks, including identifying hazards, monitoring control points, and taking corrective action </w:t>
            </w:r>
          </w:p>
          <w:p w14:paraId="42F80C78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Maintaining personal hygiene standards, including correct use of PPE, handwashing, and contamination prevention </w:t>
            </w:r>
          </w:p>
          <w:p w14:paraId="41031F60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Cleaning and sanitising work areas, tools and equipment to industry and regulatory standards </w:t>
            </w:r>
          </w:p>
          <w:p w14:paraId="2FD7802A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Monitoring and controlling temperature throughout the supply chain (receival, storage, display, processing) </w:t>
            </w:r>
          </w:p>
          <w:p w14:paraId="795CA060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Identifying and managing food safety risks, including cross-contamination and allergen exposure </w:t>
            </w:r>
          </w:p>
          <w:p w14:paraId="718169E6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Following workplace policies and procedures to ensure compliance with food safety legislation and QA systems </w:t>
            </w:r>
          </w:p>
          <w:p w14:paraId="0CC89378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Maintaining traceability through correct handling, labelling and storage practices </w:t>
            </w:r>
          </w:p>
          <w:p w14:paraId="05CE2043" w14:textId="77777777" w:rsidR="00F934D7" w:rsidRPr="00470378" w:rsidRDefault="00F934D7" w:rsidP="00C73AD1">
            <w:pPr>
              <w:pStyle w:val="SITableBody"/>
              <w:spacing w:before="40" w:afterLines="40" w:after="96"/>
            </w:pPr>
          </w:p>
        </w:tc>
        <w:tc>
          <w:tcPr>
            <w:tcW w:w="3362" w:type="dxa"/>
            <w:tcBorders>
              <w:top w:val="single" w:sz="18" w:space="0" w:color="4C7D2C" w:themeColor="accent5"/>
            </w:tcBorders>
          </w:tcPr>
          <w:p w14:paraId="4FB8709F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AMPCOR202 Apply hygiene and sanitation practices</w:t>
            </w:r>
          </w:p>
          <w:p w14:paraId="71C56C22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AMPCOR203 Comply with Quality Assurance and HACCP requirements</w:t>
            </w:r>
          </w:p>
          <w:p w14:paraId="3DD25587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AMPCOR204 Follow food safety and quality programs</w:t>
            </w:r>
          </w:p>
          <w:p w14:paraId="4927FB94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AMPCOR206 Overview the meat industry</w:t>
            </w:r>
          </w:p>
          <w:p w14:paraId="1DEB26F2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AMPR212 Clean a meat retail work area</w:t>
            </w:r>
          </w:p>
          <w:p w14:paraId="6141E502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AMPR108 Monitor meat temperature from receival to sale</w:t>
            </w:r>
          </w:p>
          <w:p w14:paraId="37FB686D" w14:textId="77777777" w:rsidR="00F934D7" w:rsidRPr="00470378" w:rsidRDefault="00F934D7" w:rsidP="00C73AD1">
            <w:pPr>
              <w:pStyle w:val="SITableBody"/>
              <w:spacing w:before="40" w:afterLines="40" w:after="96"/>
            </w:pPr>
          </w:p>
          <w:p w14:paraId="42E1EA40" w14:textId="77777777" w:rsidR="00F934D7" w:rsidRPr="00470378" w:rsidRDefault="00F934D7" w:rsidP="00C73AD1">
            <w:pPr>
              <w:pStyle w:val="SITableBody"/>
              <w:spacing w:before="40" w:afterLines="40" w:after="96"/>
            </w:pPr>
          </w:p>
        </w:tc>
        <w:tc>
          <w:tcPr>
            <w:tcW w:w="2787" w:type="dxa"/>
            <w:tcBorders>
              <w:top w:val="single" w:sz="18" w:space="0" w:color="4C7D2C" w:themeColor="accent5"/>
            </w:tcBorders>
          </w:tcPr>
          <w:p w14:paraId="6FE46C1E" w14:textId="77777777" w:rsidR="00F934D7" w:rsidRPr="00470378" w:rsidRDefault="00F934D7" w:rsidP="00C73AD1">
            <w:pPr>
              <w:pStyle w:val="SITableBody"/>
              <w:spacing w:before="40" w:afterLines="40" w:after="96"/>
            </w:pPr>
          </w:p>
        </w:tc>
      </w:tr>
      <w:tr w:rsidR="00F934D7" w:rsidRPr="00470378" w14:paraId="32720C42" w14:textId="77777777" w:rsidTr="002260B1">
        <w:tc>
          <w:tcPr>
            <w:tcW w:w="1775" w:type="dxa"/>
            <w:tcBorders>
              <w:top w:val="single" w:sz="18" w:space="0" w:color="4C7D2C" w:themeColor="accent5"/>
              <w:bottom w:val="single" w:sz="18" w:space="0" w:color="4C7D2C" w:themeColor="accent5"/>
            </w:tcBorders>
          </w:tcPr>
          <w:p w14:paraId="1ABF6D2E" w14:textId="77777777" w:rsidR="00F934D7" w:rsidRPr="00470378" w:rsidRDefault="00F934D7" w:rsidP="00C73AD1">
            <w:pPr>
              <w:pStyle w:val="SITableHeading2"/>
              <w:spacing w:before="40" w:afterLines="40" w:after="96"/>
              <w:rPr>
                <w:highlight w:val="yellow"/>
                <w:lang w:eastAsia="en-AU"/>
              </w:rPr>
            </w:pPr>
            <w:r w:rsidRPr="00470378">
              <w:lastRenderedPageBreak/>
              <w:t>Meat science, products and grading</w:t>
            </w:r>
          </w:p>
        </w:tc>
        <w:tc>
          <w:tcPr>
            <w:tcW w:w="3050" w:type="dxa"/>
          </w:tcPr>
          <w:p w14:paraId="3CCC3010" w14:textId="77777777" w:rsidR="00F934D7" w:rsidRPr="00470378" w:rsidRDefault="00F934D7" w:rsidP="00C73AD1">
            <w:pPr>
              <w:pStyle w:val="SITableBody"/>
              <w:spacing w:before="40" w:afterLines="40" w:after="96"/>
              <w:rPr>
                <w:lang w:eastAsia="en-AU"/>
              </w:rPr>
            </w:pPr>
            <w:r w:rsidRPr="00470378">
              <w:rPr>
                <w:lang w:eastAsia="en-AU"/>
              </w:rPr>
              <w:t xml:space="preserve">Animal anatomy and carcass structure, including identification of primal and sub-primal cuts across species </w:t>
            </w:r>
          </w:p>
          <w:p w14:paraId="005CB20E" w14:textId="77777777" w:rsidR="00F934D7" w:rsidRPr="00470378" w:rsidRDefault="00F934D7" w:rsidP="00C73AD1">
            <w:pPr>
              <w:pStyle w:val="SITableBody"/>
              <w:spacing w:before="40" w:afterLines="40" w:after="96"/>
              <w:rPr>
                <w:lang w:eastAsia="en-AU"/>
              </w:rPr>
            </w:pPr>
            <w:r w:rsidRPr="00470378">
              <w:rPr>
                <w:lang w:eastAsia="en-AU"/>
              </w:rPr>
              <w:t xml:space="preserve">Muscle function, structure and composition, including how this influences tenderness, flavour, and cooking suitability </w:t>
            </w:r>
          </w:p>
          <w:p w14:paraId="7F276733" w14:textId="77777777" w:rsidR="00F934D7" w:rsidRPr="00470378" w:rsidRDefault="00F934D7" w:rsidP="00C73AD1">
            <w:pPr>
              <w:pStyle w:val="SITableBody"/>
              <w:spacing w:before="40" w:afterLines="40" w:after="96"/>
              <w:rPr>
                <w:lang w:eastAsia="en-AU"/>
              </w:rPr>
            </w:pPr>
            <w:r w:rsidRPr="00470378">
              <w:rPr>
                <w:lang w:eastAsia="en-AU"/>
              </w:rPr>
              <w:t xml:space="preserve">Meat quality indicators, such as colour, texture, marbling, fat distribution, dentition and shelf life </w:t>
            </w:r>
          </w:p>
          <w:p w14:paraId="25AEFE80" w14:textId="77777777" w:rsidR="00F934D7" w:rsidRPr="00470378" w:rsidRDefault="00F934D7" w:rsidP="00C73AD1">
            <w:pPr>
              <w:pStyle w:val="SITableBody"/>
              <w:spacing w:before="40" w:afterLines="40" w:after="96"/>
              <w:rPr>
                <w:lang w:eastAsia="en-AU"/>
              </w:rPr>
            </w:pPr>
            <w:r w:rsidRPr="00470378">
              <w:rPr>
                <w:lang w:eastAsia="en-AU"/>
              </w:rPr>
              <w:t xml:space="preserve">Yield considerations, including factors affecting dressing percentages, retail yield and trim </w:t>
            </w:r>
          </w:p>
          <w:p w14:paraId="456636D0" w14:textId="77777777" w:rsidR="00F934D7" w:rsidRPr="00470378" w:rsidRDefault="00F934D7" w:rsidP="00C73AD1">
            <w:pPr>
              <w:pStyle w:val="SITableBody"/>
              <w:spacing w:before="40" w:afterLines="40" w:after="96"/>
              <w:rPr>
                <w:lang w:eastAsia="en-AU"/>
              </w:rPr>
            </w:pPr>
            <w:r w:rsidRPr="00470378">
              <w:rPr>
                <w:lang w:eastAsia="en-AU"/>
              </w:rPr>
              <w:t>Industry grading systems, including knowledge of Meat Standards Australia (MSA) and AUSMEAT language</w:t>
            </w:r>
          </w:p>
          <w:p w14:paraId="7D5199E2" w14:textId="77777777" w:rsidR="00F934D7" w:rsidRPr="00470378" w:rsidRDefault="00F934D7" w:rsidP="00C73AD1">
            <w:pPr>
              <w:pStyle w:val="SITableBody"/>
              <w:spacing w:before="40" w:afterLines="40" w:after="96"/>
            </w:pPr>
          </w:p>
        </w:tc>
        <w:tc>
          <w:tcPr>
            <w:tcW w:w="4477" w:type="dxa"/>
          </w:tcPr>
          <w:p w14:paraId="3E896884" w14:textId="77777777" w:rsidR="00F934D7" w:rsidRPr="00470378" w:rsidRDefault="00F934D7" w:rsidP="00C73AD1">
            <w:pPr>
              <w:pStyle w:val="SITableBody"/>
              <w:spacing w:before="40" w:afterLines="40" w:after="96"/>
              <w:rPr>
                <w:lang w:eastAsia="en-AU"/>
              </w:rPr>
            </w:pPr>
            <w:r w:rsidRPr="00470378">
              <w:rPr>
                <w:lang w:eastAsia="en-AU"/>
              </w:rPr>
              <w:t xml:space="preserve">Assessing carcasses and meat products for quality attributes such as colour, texture and fat content </w:t>
            </w:r>
          </w:p>
          <w:p w14:paraId="387B5BB5" w14:textId="77777777" w:rsidR="00F934D7" w:rsidRPr="00470378" w:rsidRDefault="00F934D7" w:rsidP="00C73AD1">
            <w:pPr>
              <w:pStyle w:val="SITableBody"/>
              <w:spacing w:before="40" w:afterLines="40" w:after="96"/>
              <w:rPr>
                <w:lang w:eastAsia="en-AU"/>
              </w:rPr>
            </w:pPr>
            <w:r w:rsidRPr="00470378">
              <w:rPr>
                <w:lang w:eastAsia="en-AU"/>
              </w:rPr>
              <w:t xml:space="preserve">Calculating yield and recovery rates to optimise product use and minimise waste </w:t>
            </w:r>
          </w:p>
          <w:p w14:paraId="6F79FABB" w14:textId="77777777" w:rsidR="00F934D7" w:rsidRPr="00470378" w:rsidRDefault="00F934D7" w:rsidP="00C73AD1">
            <w:pPr>
              <w:pStyle w:val="SITableBody"/>
              <w:spacing w:before="40" w:afterLines="40" w:after="96"/>
              <w:rPr>
                <w:lang w:eastAsia="en-AU"/>
              </w:rPr>
            </w:pPr>
            <w:r w:rsidRPr="00470378">
              <w:rPr>
                <w:lang w:eastAsia="en-AU"/>
              </w:rPr>
              <w:t xml:space="preserve">Preparing and analysing samples for quality control purposes </w:t>
            </w:r>
          </w:p>
          <w:p w14:paraId="3594B8D1" w14:textId="77777777" w:rsidR="00F934D7" w:rsidRPr="00470378" w:rsidRDefault="00F934D7" w:rsidP="00C73AD1">
            <w:pPr>
              <w:pStyle w:val="SITableBody"/>
              <w:spacing w:before="40" w:afterLines="40" w:after="96"/>
              <w:rPr>
                <w:lang w:eastAsia="en-AU"/>
              </w:rPr>
            </w:pPr>
            <w:r w:rsidRPr="00470378">
              <w:rPr>
                <w:lang w:eastAsia="en-AU"/>
              </w:rPr>
              <w:t>Applying industry grading systems such as Meat Standards Australia (MSA) and AusMeat</w:t>
            </w:r>
          </w:p>
          <w:p w14:paraId="2582FE86" w14:textId="77777777" w:rsidR="00F934D7" w:rsidRPr="00470378" w:rsidRDefault="00F934D7" w:rsidP="00C73AD1">
            <w:pPr>
              <w:pStyle w:val="SITableBody"/>
              <w:spacing w:before="40" w:afterLines="40" w:after="96"/>
              <w:rPr>
                <w:lang w:eastAsia="en-AU"/>
              </w:rPr>
            </w:pPr>
            <w:r w:rsidRPr="00470378">
              <w:rPr>
                <w:lang w:eastAsia="en-AU"/>
              </w:rPr>
              <w:t xml:space="preserve">Identifying defects or inconsistencies and taking corrective action </w:t>
            </w:r>
          </w:p>
          <w:p w14:paraId="2D6B10EE" w14:textId="77777777" w:rsidR="00F934D7" w:rsidRPr="00470378" w:rsidRDefault="00F934D7" w:rsidP="00C73AD1">
            <w:pPr>
              <w:pStyle w:val="SITableBody"/>
              <w:spacing w:before="40" w:afterLines="40" w:after="96"/>
            </w:pPr>
          </w:p>
          <w:p w14:paraId="7F75416A" w14:textId="77777777" w:rsidR="00F934D7" w:rsidRPr="00470378" w:rsidRDefault="00F934D7" w:rsidP="00C73AD1">
            <w:pPr>
              <w:pStyle w:val="SITableBody"/>
              <w:spacing w:before="40" w:afterLines="40" w:after="96"/>
            </w:pPr>
          </w:p>
        </w:tc>
        <w:tc>
          <w:tcPr>
            <w:tcW w:w="3362" w:type="dxa"/>
          </w:tcPr>
          <w:p w14:paraId="505B803C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AMPR101 Identify species and meat cuts</w:t>
            </w:r>
          </w:p>
          <w:p w14:paraId="61535A08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AMPR315 Utilise MSA systems to meet customer requirements</w:t>
            </w:r>
          </w:p>
          <w:p w14:paraId="55B1D5BF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AMPR302 Assess carcase or product quality</w:t>
            </w:r>
          </w:p>
          <w:p w14:paraId="2261EF5C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AMPR319 Locate, identify and assess meat cuts</w:t>
            </w:r>
          </w:p>
          <w:p w14:paraId="22285046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AMPR303 Calculate yield of carcase or product</w:t>
            </w:r>
          </w:p>
          <w:p w14:paraId="7F9C5B94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AMPR321 Collect and prepare standard samples</w:t>
            </w:r>
          </w:p>
        </w:tc>
        <w:tc>
          <w:tcPr>
            <w:tcW w:w="2787" w:type="dxa"/>
          </w:tcPr>
          <w:p w14:paraId="2C7227EA" w14:textId="77777777" w:rsidR="00F934D7" w:rsidRPr="00470378" w:rsidRDefault="00F934D7" w:rsidP="00C73AD1">
            <w:pPr>
              <w:pStyle w:val="SITableBody"/>
              <w:spacing w:before="40" w:afterLines="40" w:after="96"/>
              <w:rPr>
                <w:highlight w:val="yellow"/>
              </w:rPr>
            </w:pPr>
            <w:r w:rsidRPr="00470378">
              <w:t>Applicable to butchery and smallgoods</w:t>
            </w:r>
          </w:p>
        </w:tc>
      </w:tr>
      <w:tr w:rsidR="00F934D7" w:rsidRPr="00470378" w14:paraId="5E76E92B" w14:textId="77777777" w:rsidTr="002260B1">
        <w:tc>
          <w:tcPr>
            <w:tcW w:w="1775" w:type="dxa"/>
            <w:tcBorders>
              <w:top w:val="single" w:sz="18" w:space="0" w:color="4C7D2C" w:themeColor="accent5"/>
              <w:bottom w:val="single" w:sz="18" w:space="0" w:color="4C7D2C" w:themeColor="accent5"/>
            </w:tcBorders>
          </w:tcPr>
          <w:p w14:paraId="5C4D080E" w14:textId="77777777" w:rsidR="00F934D7" w:rsidRPr="00470378" w:rsidRDefault="00F934D7" w:rsidP="00C73AD1">
            <w:pPr>
              <w:pStyle w:val="SITableHeading2"/>
              <w:spacing w:before="40" w:afterLines="40" w:after="96"/>
              <w:rPr>
                <w:lang w:eastAsia="en-AU"/>
              </w:rPr>
            </w:pPr>
            <w:r w:rsidRPr="00470378">
              <w:t>Meat preparation and portioning</w:t>
            </w:r>
          </w:p>
        </w:tc>
        <w:tc>
          <w:tcPr>
            <w:tcW w:w="3050" w:type="dxa"/>
          </w:tcPr>
          <w:p w14:paraId="123AF740" w14:textId="77777777" w:rsidR="00F934D7" w:rsidRPr="00470378" w:rsidRDefault="00F934D7" w:rsidP="00C73AD1">
            <w:pPr>
              <w:pStyle w:val="SITableBody"/>
              <w:spacing w:before="40" w:afterLines="40" w:after="96"/>
              <w:rPr>
                <w:lang w:eastAsia="en-AU"/>
              </w:rPr>
            </w:pPr>
            <w:r w:rsidRPr="00470378">
              <w:rPr>
                <w:lang w:eastAsia="en-AU"/>
              </w:rPr>
              <w:t>Species differences, including preparation of  beef, lamb, pork, poultry and game cuts</w:t>
            </w:r>
          </w:p>
          <w:p w14:paraId="7B2C16E2" w14:textId="77777777" w:rsidR="00F934D7" w:rsidRPr="00470378" w:rsidRDefault="00F934D7" w:rsidP="00C73AD1">
            <w:pPr>
              <w:pStyle w:val="SITableBody"/>
              <w:spacing w:before="40" w:afterLines="40" w:after="96"/>
              <w:rPr>
                <w:lang w:eastAsia="en-AU"/>
              </w:rPr>
            </w:pPr>
            <w:r w:rsidRPr="00470378">
              <w:rPr>
                <w:lang w:eastAsia="en-AU"/>
              </w:rPr>
              <w:t xml:space="preserve">Product characteristics and uses, including suitability of </w:t>
            </w:r>
            <w:r w:rsidRPr="00470378">
              <w:rPr>
                <w:lang w:eastAsia="en-AU"/>
              </w:rPr>
              <w:lastRenderedPageBreak/>
              <w:t xml:space="preserve">cuts for different cooking methods and customer applications </w:t>
            </w:r>
          </w:p>
          <w:p w14:paraId="6576C4A0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Knife maintenance and sharpening principles, including safety and performance considerations </w:t>
            </w:r>
          </w:p>
          <w:p w14:paraId="186216F4" w14:textId="77777777" w:rsidR="00F934D7" w:rsidRPr="00470378" w:rsidRDefault="00F934D7" w:rsidP="00C73AD1">
            <w:pPr>
              <w:pStyle w:val="SITableBody"/>
              <w:spacing w:before="40" w:afterLines="40" w:after="96"/>
              <w:rPr>
                <w:lang w:eastAsia="en-AU"/>
              </w:rPr>
            </w:pPr>
            <w:r w:rsidRPr="00470378">
              <w:rPr>
                <w:lang w:eastAsia="en-AU"/>
              </w:rPr>
              <w:t xml:space="preserve">Cutting, trimming and boning techniques, including principles for efficiency, yield and product quality </w:t>
            </w:r>
          </w:p>
          <w:p w14:paraId="0617468A" w14:textId="77777777" w:rsidR="00F934D7" w:rsidRPr="00470378" w:rsidRDefault="00F934D7" w:rsidP="00C73AD1">
            <w:pPr>
              <w:pStyle w:val="SITableBody"/>
              <w:spacing w:before="40" w:afterLines="40" w:after="96"/>
              <w:rPr>
                <w:lang w:eastAsia="en-AU"/>
              </w:rPr>
            </w:pPr>
            <w:r w:rsidRPr="00470378">
              <w:rPr>
                <w:lang w:eastAsia="en-AU"/>
              </w:rPr>
              <w:t xml:space="preserve">Portioning and specification requirements, including weight, size and presentation standards </w:t>
            </w:r>
          </w:p>
          <w:p w14:paraId="45F9E2F1" w14:textId="77777777" w:rsidR="00F934D7" w:rsidRPr="00470378" w:rsidRDefault="00F934D7" w:rsidP="00C73AD1">
            <w:pPr>
              <w:pStyle w:val="SITableBody"/>
              <w:spacing w:before="40" w:afterLines="40" w:after="96"/>
            </w:pPr>
          </w:p>
        </w:tc>
        <w:tc>
          <w:tcPr>
            <w:tcW w:w="4477" w:type="dxa"/>
          </w:tcPr>
          <w:p w14:paraId="1E8403FB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lastRenderedPageBreak/>
              <w:t xml:space="preserve">Breaking down large and small stock carcasses into primal and sub-primal cuts using appropriate techniques </w:t>
            </w:r>
          </w:p>
          <w:p w14:paraId="49997226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Boning, trimming and preparing meat to specification with consideration for yield, quality and presentation </w:t>
            </w:r>
          </w:p>
          <w:p w14:paraId="1EBCFDF7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lastRenderedPageBreak/>
              <w:t xml:space="preserve">Performing portion control, including cutting, rolling, tying and netting meat products </w:t>
            </w:r>
          </w:p>
          <w:p w14:paraId="53679E42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Processing poultry and game, including filleting and deboning </w:t>
            </w:r>
          </w:p>
          <w:p w14:paraId="492F264A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Identifying meat cuts and selecting appropriate preparation methods </w:t>
            </w:r>
          </w:p>
          <w:p w14:paraId="30DCB655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Applying knife skills with precision, efficiency and safety </w:t>
            </w:r>
          </w:p>
          <w:p w14:paraId="1E4B9F5E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Adapting techniques based on species, product requirements and customer needs</w:t>
            </w:r>
          </w:p>
        </w:tc>
        <w:tc>
          <w:tcPr>
            <w:tcW w:w="3362" w:type="dxa"/>
          </w:tcPr>
          <w:p w14:paraId="562D8D5F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lastRenderedPageBreak/>
              <w:t>AMPR102 Trim meat for further processing</w:t>
            </w:r>
          </w:p>
          <w:p w14:paraId="2C956681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AMPR103 Store meat product</w:t>
            </w:r>
          </w:p>
          <w:p w14:paraId="7A8A3967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AMPR104 Prepare minced meat and minced meat products</w:t>
            </w:r>
          </w:p>
          <w:p w14:paraId="23C91CC1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lastRenderedPageBreak/>
              <w:t>AMPX209 Sharpen knives</w:t>
            </w:r>
          </w:p>
          <w:p w14:paraId="7560E729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AMPX210 Prepare and slice meats</w:t>
            </w:r>
          </w:p>
          <w:p w14:paraId="219101F0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AMPX211 Trim meat to specifications</w:t>
            </w:r>
          </w:p>
          <w:p w14:paraId="53041958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AMPX304 Prepare primal cuts</w:t>
            </w:r>
          </w:p>
          <w:p w14:paraId="5F4D37E8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AMPR203 Prepare specialised cuts</w:t>
            </w:r>
          </w:p>
          <w:p w14:paraId="3066B18C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AMPR308 Prepare, roll, sew and net meat</w:t>
            </w:r>
          </w:p>
          <w:p w14:paraId="6EB621C5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AMPR309 Bone and fillet poultry</w:t>
            </w:r>
          </w:p>
          <w:p w14:paraId="5C3A8192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AMPR311 Prepare portion control to specification</w:t>
            </w:r>
          </w:p>
          <w:p w14:paraId="4B899362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AMPR319 Locate, identify and assess meat cuts</w:t>
            </w:r>
          </w:p>
          <w:p w14:paraId="77E7EC2B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AMPR323 Break small carcase for retail sale</w:t>
            </w:r>
          </w:p>
          <w:p w14:paraId="175C1819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AMPR324 Break large stock for retail sale</w:t>
            </w:r>
          </w:p>
          <w:p w14:paraId="43152EE7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AMPR325 Prepare cooked meat products for retail sale</w:t>
            </w:r>
          </w:p>
          <w:p w14:paraId="1EB53A1F" w14:textId="77777777" w:rsidR="00F934D7" w:rsidRPr="00470378" w:rsidRDefault="00F934D7" w:rsidP="00C73AD1">
            <w:pPr>
              <w:pStyle w:val="SITableBody"/>
              <w:spacing w:before="40" w:afterLines="40" w:after="96"/>
            </w:pPr>
          </w:p>
          <w:p w14:paraId="298387D0" w14:textId="77777777" w:rsidR="00F934D7" w:rsidRPr="00470378" w:rsidRDefault="00F934D7" w:rsidP="00C73AD1">
            <w:pPr>
              <w:pStyle w:val="SITableBody"/>
              <w:spacing w:before="40" w:afterLines="40" w:after="96"/>
            </w:pPr>
          </w:p>
          <w:p w14:paraId="35FDF428" w14:textId="77777777" w:rsidR="00F934D7" w:rsidRPr="00470378" w:rsidRDefault="00F934D7" w:rsidP="00C73AD1">
            <w:pPr>
              <w:pStyle w:val="SITableBody"/>
              <w:spacing w:before="40" w:afterLines="40" w:after="96"/>
            </w:pPr>
          </w:p>
        </w:tc>
        <w:tc>
          <w:tcPr>
            <w:tcW w:w="2787" w:type="dxa"/>
          </w:tcPr>
          <w:p w14:paraId="6A8C61D8" w14:textId="4A0A2504" w:rsidR="00F934D7" w:rsidRPr="00470378" w:rsidRDefault="00210A10" w:rsidP="00C73AD1">
            <w:pPr>
              <w:pStyle w:val="SITableBody"/>
              <w:spacing w:before="40" w:afterLines="40" w:after="96"/>
            </w:pPr>
            <w:r>
              <w:lastRenderedPageBreak/>
              <w:t>A</w:t>
            </w:r>
            <w:r w:rsidR="00F934D7" w:rsidRPr="00470378">
              <w:t xml:space="preserve">ll units relevant to the retail butchery  sector, with a subset applicable to smallgoods manufacture,  </w:t>
            </w:r>
          </w:p>
          <w:p w14:paraId="269287F7" w14:textId="77777777" w:rsidR="00F934D7" w:rsidRPr="00470378" w:rsidRDefault="00F934D7" w:rsidP="00C73AD1">
            <w:pPr>
              <w:pStyle w:val="SITableBody"/>
              <w:spacing w:before="40" w:afterLines="40" w:after="96"/>
            </w:pPr>
          </w:p>
        </w:tc>
      </w:tr>
      <w:tr w:rsidR="00F934D7" w:rsidRPr="00470378" w14:paraId="00726B6B" w14:textId="77777777" w:rsidTr="002260B1">
        <w:tc>
          <w:tcPr>
            <w:tcW w:w="1775" w:type="dxa"/>
            <w:tcBorders>
              <w:top w:val="single" w:sz="18" w:space="0" w:color="4C7D2C" w:themeColor="accent5"/>
              <w:bottom w:val="single" w:sz="18" w:space="0" w:color="4C7D2C" w:themeColor="accent5"/>
            </w:tcBorders>
          </w:tcPr>
          <w:p w14:paraId="12DBF9AE" w14:textId="77777777" w:rsidR="00F934D7" w:rsidRPr="00470378" w:rsidRDefault="00F934D7" w:rsidP="00C73AD1">
            <w:pPr>
              <w:pStyle w:val="SITableHeading2"/>
              <w:spacing w:before="40" w:afterLines="40" w:after="96"/>
            </w:pPr>
            <w:r w:rsidRPr="00470378">
              <w:lastRenderedPageBreak/>
              <w:t>Sales and customer service</w:t>
            </w:r>
          </w:p>
        </w:tc>
        <w:tc>
          <w:tcPr>
            <w:tcW w:w="3050" w:type="dxa"/>
          </w:tcPr>
          <w:p w14:paraId="1C0640A2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Customer preferences and buying behaviour, including trends in product demand and consumption </w:t>
            </w:r>
          </w:p>
          <w:p w14:paraId="36EA5813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Cooking methods and applications, enabling butchers to provide advice on preparation and use of different cuts </w:t>
            </w:r>
          </w:p>
          <w:p w14:paraId="5741A6D8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Meal solutions and product pairing, including the development of ready-to-cook or ready-to-eat offerings </w:t>
            </w:r>
          </w:p>
          <w:p w14:paraId="0CAA936C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Nutritional considerations, including basic understanding of protein, fat content, and dietary requirements </w:t>
            </w:r>
          </w:p>
          <w:p w14:paraId="06E65FBE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Product provenance and traceability, including customer interest in origin, sustainability and production methods </w:t>
            </w:r>
          </w:p>
          <w:p w14:paraId="4EF3B6C4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Merchandising principles, including display techniques, product positioning and visual appeal </w:t>
            </w:r>
          </w:p>
          <w:p w14:paraId="76B766A0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lastRenderedPageBreak/>
              <w:t>Sales techniques, including communication strategies and customer interaction</w:t>
            </w:r>
          </w:p>
        </w:tc>
        <w:tc>
          <w:tcPr>
            <w:tcW w:w="4477" w:type="dxa"/>
          </w:tcPr>
          <w:p w14:paraId="74E8F7C4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lastRenderedPageBreak/>
              <w:t xml:space="preserve">Engaging with customers to identify needs and provide tailored product recommendations </w:t>
            </w:r>
          </w:p>
          <w:p w14:paraId="28760CEC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Providing advice on cooking methods, storage, nutrition and meal preparation </w:t>
            </w:r>
          </w:p>
          <w:p w14:paraId="53DA70CE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Presenting products attractively through effective merchandising and display techniques </w:t>
            </w:r>
          </w:p>
          <w:p w14:paraId="7E267C14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Interpreting customer preferences and adjusting product offerings accordingly </w:t>
            </w:r>
          </w:p>
          <w:p w14:paraId="25730507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Conducting sales transactions using POS systems and handling payments securely </w:t>
            </w:r>
          </w:p>
          <w:p w14:paraId="48949776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Promoting products and upselling value-added items </w:t>
            </w:r>
          </w:p>
          <w:p w14:paraId="0783735F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Communicating product knowledge clearly and confidently</w:t>
            </w:r>
          </w:p>
        </w:tc>
        <w:tc>
          <w:tcPr>
            <w:tcW w:w="3362" w:type="dxa"/>
          </w:tcPr>
          <w:p w14:paraId="58EDAD65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AMPR105 Provide service to customers</w:t>
            </w:r>
          </w:p>
          <w:p w14:paraId="3121EA23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AMPR106 Process sales transactions</w:t>
            </w:r>
          </w:p>
          <w:p w14:paraId="7D201083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AMPR202 Provide advice on cooking and storage of meat products</w:t>
            </w:r>
          </w:p>
          <w:p w14:paraId="52265C96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AMPR305 Meet customer needs</w:t>
            </w:r>
          </w:p>
          <w:p w14:paraId="24BACF05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AMPR306 Provide advice on nutritional role of meat</w:t>
            </w:r>
          </w:p>
          <w:p w14:paraId="2DA4B534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AMPR307 Merchandise products, services</w:t>
            </w:r>
          </w:p>
          <w:p w14:paraId="22C8632F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AMPR320 Assess and address customer preferences</w:t>
            </w:r>
          </w:p>
        </w:tc>
        <w:tc>
          <w:tcPr>
            <w:tcW w:w="2787" w:type="dxa"/>
          </w:tcPr>
          <w:p w14:paraId="7C91CD00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Applicable to butchery and smallgoods manufacture where there is a sales job function</w:t>
            </w:r>
          </w:p>
        </w:tc>
      </w:tr>
      <w:tr w:rsidR="00F934D7" w:rsidRPr="00470378" w14:paraId="10C06519" w14:textId="77777777" w:rsidTr="002260B1">
        <w:tc>
          <w:tcPr>
            <w:tcW w:w="1775" w:type="dxa"/>
            <w:tcBorders>
              <w:top w:val="single" w:sz="18" w:space="0" w:color="4C7D2C" w:themeColor="accent5"/>
              <w:bottom w:val="single" w:sz="18" w:space="0" w:color="4C7D2C" w:themeColor="accent5"/>
            </w:tcBorders>
          </w:tcPr>
          <w:p w14:paraId="408FA96F" w14:textId="77777777" w:rsidR="00F934D7" w:rsidRPr="00470378" w:rsidRDefault="00F934D7" w:rsidP="00C73AD1">
            <w:pPr>
              <w:pStyle w:val="SITableHeading2"/>
              <w:spacing w:before="40" w:afterLines="40" w:after="96"/>
            </w:pPr>
            <w:r w:rsidRPr="00470378">
              <w:t>Equipment and automation</w:t>
            </w:r>
          </w:p>
        </w:tc>
        <w:tc>
          <w:tcPr>
            <w:tcW w:w="3050" w:type="dxa"/>
          </w:tcPr>
          <w:p w14:paraId="6263DEB1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Operation of equipment, including bandsaws, slicers, mincers, vacuum packers and automated packaging systems </w:t>
            </w:r>
          </w:p>
          <w:p w14:paraId="2C6309AA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Preventative maintenance requirements, including routine checks and servicing </w:t>
            </w:r>
          </w:p>
          <w:p w14:paraId="6E767EAB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Fault identification and reporting, including recognising equipment issues and responding appropriately </w:t>
            </w:r>
          </w:p>
          <w:p w14:paraId="52E66400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Automation and production systems, particularly in larger processing environments </w:t>
            </w:r>
          </w:p>
          <w:p w14:paraId="6B9733D5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Digital systems, including point-of-sale systems and basic workplace technologies</w:t>
            </w:r>
          </w:p>
        </w:tc>
        <w:tc>
          <w:tcPr>
            <w:tcW w:w="4477" w:type="dxa"/>
          </w:tcPr>
          <w:p w14:paraId="22AC586F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Operating equipment such as bandsaws, slicers and mincers </w:t>
            </w:r>
          </w:p>
          <w:p w14:paraId="48C95D16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Performing routine maintenance and identifying faults </w:t>
            </w:r>
          </w:p>
          <w:p w14:paraId="7004E8C2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Applying safe operating procedures for all equipment </w:t>
            </w:r>
          </w:p>
          <w:p w14:paraId="07625D88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Reporting and addressing equipment issues to minimise downtime</w:t>
            </w:r>
          </w:p>
        </w:tc>
        <w:tc>
          <w:tcPr>
            <w:tcW w:w="3362" w:type="dxa"/>
          </w:tcPr>
          <w:p w14:paraId="63AAD20B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AMPCOR201 Maintain personal equipment</w:t>
            </w:r>
          </w:p>
          <w:p w14:paraId="2B48CD35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AMPR201 Break and cut product using a bandsaw</w:t>
            </w:r>
          </w:p>
          <w:p w14:paraId="22F54299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AMPX201 Prepare and operate a bandsaw</w:t>
            </w:r>
          </w:p>
          <w:p w14:paraId="3608A0FA" w14:textId="77777777" w:rsidR="00F934D7" w:rsidRPr="00470378" w:rsidRDefault="00F934D7" w:rsidP="00C73AD1">
            <w:pPr>
              <w:pStyle w:val="SITableBody"/>
              <w:spacing w:before="40" w:afterLines="40" w:after="96"/>
            </w:pPr>
          </w:p>
        </w:tc>
        <w:tc>
          <w:tcPr>
            <w:tcW w:w="2787" w:type="dxa"/>
          </w:tcPr>
          <w:p w14:paraId="041475E9" w14:textId="1C62080A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 Applicable to both retail butchery and smallgoods manufacture. Units must cater for the range of equipment assessed.</w:t>
            </w:r>
          </w:p>
          <w:p w14:paraId="1FFC0C04" w14:textId="77777777" w:rsidR="00F934D7" w:rsidRPr="00470378" w:rsidRDefault="00F934D7" w:rsidP="00C73AD1">
            <w:pPr>
              <w:pStyle w:val="SITableBody"/>
              <w:spacing w:before="40" w:afterLines="40" w:after="96"/>
            </w:pPr>
          </w:p>
          <w:p w14:paraId="2365BAEA" w14:textId="77777777" w:rsidR="00F934D7" w:rsidRPr="00470378" w:rsidRDefault="00F934D7" w:rsidP="00C73AD1">
            <w:pPr>
              <w:pStyle w:val="SITableBody"/>
              <w:spacing w:before="40" w:afterLines="40" w:after="96"/>
            </w:pPr>
          </w:p>
        </w:tc>
      </w:tr>
      <w:tr w:rsidR="00F934D7" w:rsidRPr="00470378" w14:paraId="5835770A" w14:textId="77777777" w:rsidTr="002260B1">
        <w:tc>
          <w:tcPr>
            <w:tcW w:w="1775" w:type="dxa"/>
            <w:tcBorders>
              <w:top w:val="single" w:sz="18" w:space="0" w:color="4C7D2C" w:themeColor="accent5"/>
              <w:bottom w:val="single" w:sz="18" w:space="0" w:color="4C7D2C" w:themeColor="accent5"/>
            </w:tcBorders>
          </w:tcPr>
          <w:p w14:paraId="3FF32B80" w14:textId="77777777" w:rsidR="00F934D7" w:rsidRPr="00470378" w:rsidRDefault="00F934D7" w:rsidP="00C73AD1">
            <w:pPr>
              <w:pStyle w:val="SITableHeading2"/>
              <w:spacing w:before="40" w:afterLines="40" w:after="96"/>
            </w:pPr>
            <w:r w:rsidRPr="00470378">
              <w:t>Teamwork, communication and leadership</w:t>
            </w:r>
          </w:p>
        </w:tc>
        <w:tc>
          <w:tcPr>
            <w:tcW w:w="3050" w:type="dxa"/>
          </w:tcPr>
          <w:p w14:paraId="6ED8A8E9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Workplace policies and procedures, including compliance and reporting requirements </w:t>
            </w:r>
          </w:p>
          <w:p w14:paraId="08D4E391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Communication methods, including verbal, written and digital communication </w:t>
            </w:r>
          </w:p>
          <w:p w14:paraId="6A2ADAF6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lastRenderedPageBreak/>
              <w:t xml:space="preserve">Team roles and responsibilities, including collaboration and coordination of tasks </w:t>
            </w:r>
          </w:p>
          <w:p w14:paraId="091EEC6F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Training and supervision principles, including basic coaching and mentoring approaches </w:t>
            </w:r>
          </w:p>
          <w:p w14:paraId="0261025E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Cultural and workplace diversity considerations</w:t>
            </w:r>
          </w:p>
        </w:tc>
        <w:tc>
          <w:tcPr>
            <w:tcW w:w="4477" w:type="dxa"/>
          </w:tcPr>
          <w:p w14:paraId="5EA491C9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lastRenderedPageBreak/>
              <w:t xml:space="preserve">Communicating clearly with team members, supervisors and customers </w:t>
            </w:r>
          </w:p>
          <w:p w14:paraId="6A79AA5B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Providing on-the-job instruction and guidance to less experienced staff </w:t>
            </w:r>
          </w:p>
          <w:p w14:paraId="588949D6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Supporting team coordination and workflow </w:t>
            </w:r>
          </w:p>
          <w:p w14:paraId="25E27C59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lastRenderedPageBreak/>
              <w:t xml:space="preserve">Applying basic coaching and mentoring techniques </w:t>
            </w:r>
          </w:p>
          <w:p w14:paraId="7CC9217E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Contributing to a positive and productive workplace culture</w:t>
            </w:r>
          </w:p>
        </w:tc>
        <w:tc>
          <w:tcPr>
            <w:tcW w:w="3362" w:type="dxa"/>
          </w:tcPr>
          <w:p w14:paraId="4B16E3B2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lastRenderedPageBreak/>
              <w:t>AMPCOR205 Communicate in the workplace</w:t>
            </w:r>
          </w:p>
          <w:p w14:paraId="482A067F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TAADEL301 Provide work skill instruction</w:t>
            </w:r>
          </w:p>
        </w:tc>
        <w:tc>
          <w:tcPr>
            <w:tcW w:w="2787" w:type="dxa"/>
          </w:tcPr>
          <w:p w14:paraId="0F480005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Applicable  to both retail butchery and smallgoods manufacture.</w:t>
            </w:r>
          </w:p>
        </w:tc>
      </w:tr>
      <w:tr w:rsidR="00F934D7" w:rsidRPr="00470378" w14:paraId="6ABCCDCB" w14:textId="77777777" w:rsidTr="002260B1">
        <w:tc>
          <w:tcPr>
            <w:tcW w:w="1775" w:type="dxa"/>
            <w:tcBorders>
              <w:top w:val="single" w:sz="18" w:space="0" w:color="4C7D2C" w:themeColor="accent5"/>
              <w:bottom w:val="single" w:sz="18" w:space="0" w:color="4C7D2C" w:themeColor="accent5"/>
            </w:tcBorders>
          </w:tcPr>
          <w:p w14:paraId="16248F74" w14:textId="77777777" w:rsidR="00F934D7" w:rsidRPr="00470378" w:rsidRDefault="00F934D7" w:rsidP="00C73AD1">
            <w:pPr>
              <w:pStyle w:val="SITableHeading2"/>
              <w:spacing w:before="40" w:afterLines="40" w:after="96"/>
            </w:pPr>
          </w:p>
        </w:tc>
        <w:tc>
          <w:tcPr>
            <w:tcW w:w="3050" w:type="dxa"/>
          </w:tcPr>
          <w:p w14:paraId="13A0204C" w14:textId="77777777" w:rsidR="00F934D7" w:rsidRPr="00470378" w:rsidRDefault="00F934D7" w:rsidP="00C73AD1">
            <w:pPr>
              <w:pStyle w:val="SITableBody"/>
              <w:spacing w:before="40" w:afterLines="40" w:after="96"/>
            </w:pPr>
          </w:p>
        </w:tc>
        <w:tc>
          <w:tcPr>
            <w:tcW w:w="4477" w:type="dxa"/>
          </w:tcPr>
          <w:p w14:paraId="0103BE35" w14:textId="77777777" w:rsidR="00F934D7" w:rsidRPr="00470378" w:rsidRDefault="00F934D7" w:rsidP="00C73AD1">
            <w:pPr>
              <w:pStyle w:val="SITableBody"/>
              <w:spacing w:before="40" w:afterLines="40" w:after="96"/>
            </w:pPr>
          </w:p>
        </w:tc>
        <w:tc>
          <w:tcPr>
            <w:tcW w:w="3362" w:type="dxa"/>
          </w:tcPr>
          <w:p w14:paraId="07A4AC62" w14:textId="77777777" w:rsidR="00F934D7" w:rsidRPr="00470378" w:rsidRDefault="00F934D7" w:rsidP="00C73AD1">
            <w:pPr>
              <w:pStyle w:val="SITableBody"/>
              <w:spacing w:before="40" w:afterLines="40" w:after="96"/>
            </w:pPr>
          </w:p>
        </w:tc>
        <w:tc>
          <w:tcPr>
            <w:tcW w:w="2787" w:type="dxa"/>
          </w:tcPr>
          <w:p w14:paraId="5375D6C3" w14:textId="77777777" w:rsidR="00F934D7" w:rsidRPr="00470378" w:rsidRDefault="00F934D7" w:rsidP="00C73AD1">
            <w:pPr>
              <w:pStyle w:val="SITableBody"/>
              <w:spacing w:before="40" w:afterLines="40" w:after="96"/>
            </w:pPr>
          </w:p>
        </w:tc>
      </w:tr>
      <w:tr w:rsidR="00F934D7" w:rsidRPr="00470378" w14:paraId="52CEC2DB" w14:textId="77777777" w:rsidTr="002260B1">
        <w:tc>
          <w:tcPr>
            <w:tcW w:w="1775" w:type="dxa"/>
            <w:tcBorders>
              <w:top w:val="single" w:sz="18" w:space="0" w:color="4C7D2C" w:themeColor="accent5"/>
              <w:bottom w:val="single" w:sz="18" w:space="0" w:color="4C7D2C" w:themeColor="accent5"/>
            </w:tcBorders>
          </w:tcPr>
          <w:p w14:paraId="682FC9E6" w14:textId="77777777" w:rsidR="00F934D7" w:rsidRPr="00470378" w:rsidRDefault="00F934D7" w:rsidP="00C73AD1">
            <w:pPr>
              <w:pStyle w:val="SITableHeading2"/>
              <w:spacing w:before="40" w:afterLines="40" w:after="96"/>
            </w:pPr>
            <w:r w:rsidRPr="00470378">
              <w:t>Packaging, receival and despatch</w:t>
            </w:r>
          </w:p>
        </w:tc>
        <w:tc>
          <w:tcPr>
            <w:tcW w:w="3050" w:type="dxa"/>
          </w:tcPr>
          <w:p w14:paraId="0C615EA4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regulatory requirements for packaging and labelling</w:t>
            </w:r>
          </w:p>
          <w:p w14:paraId="0E786424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packaging processes</w:t>
            </w:r>
          </w:p>
          <w:p w14:paraId="3BA67326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effect of packaging materials and processes on quality, safety and shelf life of product</w:t>
            </w:r>
          </w:p>
          <w:p w14:paraId="7B9C49E0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workplace procedures for dealing with sub-standard or contaminated product</w:t>
            </w:r>
          </w:p>
          <w:p w14:paraId="35CB04BF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defects that can occur during packaging</w:t>
            </w:r>
          </w:p>
          <w:p w14:paraId="4881DC4B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packaging requirements</w:t>
            </w:r>
          </w:p>
          <w:p w14:paraId="38ECF8F8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specific workplace health and safety requirements for vacuum packing</w:t>
            </w:r>
          </w:p>
          <w:p w14:paraId="7618261F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lastRenderedPageBreak/>
              <w:t>general operating principles for equipment, including start-up and shut-down procedures.</w:t>
            </w:r>
          </w:p>
        </w:tc>
        <w:tc>
          <w:tcPr>
            <w:tcW w:w="4477" w:type="dxa"/>
          </w:tcPr>
          <w:p w14:paraId="177B5FE9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lastRenderedPageBreak/>
              <w:t>use a range of packaging equipment to package processed meats and smallgoods for retail sale</w:t>
            </w:r>
          </w:p>
          <w:p w14:paraId="731B2FCE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identify food safety hazards in packaging processed meat and take appropriate preventative or corrective action</w:t>
            </w:r>
          </w:p>
          <w:p w14:paraId="7505DA95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identify sub-standard or contaminated product</w:t>
            </w:r>
          </w:p>
          <w:p w14:paraId="7C9F83EE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clean equipment according to hygiene requirements</w:t>
            </w:r>
          </w:p>
          <w:p w14:paraId="0E9540C4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work with team members</w:t>
            </w:r>
          </w:p>
          <w:p w14:paraId="0EE26A0F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apply relevant regulatory and workplace requirements</w:t>
            </w:r>
          </w:p>
          <w:p w14:paraId="1F0B8689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report equipment faults, either verbally or in writing, according to workplace requirements</w:t>
            </w:r>
          </w:p>
          <w:p w14:paraId="1834FB61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lastRenderedPageBreak/>
              <w:t>seek advice from appropriate sources when working with unfamiliar products or  equipment</w:t>
            </w:r>
          </w:p>
          <w:p w14:paraId="439C8843" w14:textId="77777777" w:rsidR="00F934D7" w:rsidRPr="00470378" w:rsidRDefault="00F934D7" w:rsidP="00C73AD1">
            <w:pPr>
              <w:pStyle w:val="SITableBody"/>
              <w:spacing w:before="40" w:afterLines="40" w:after="96"/>
            </w:pPr>
          </w:p>
        </w:tc>
        <w:tc>
          <w:tcPr>
            <w:tcW w:w="3362" w:type="dxa"/>
          </w:tcPr>
          <w:p w14:paraId="67244BE1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lastRenderedPageBreak/>
              <w:t>AMPR204 Package products using manual packing and labelling equipment</w:t>
            </w:r>
          </w:p>
          <w:p w14:paraId="767FD2E6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AMPX212 Package products using automatic packing and labelling equipment</w:t>
            </w:r>
          </w:p>
          <w:p w14:paraId="20CAAB6E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AMPR206 Vacuum pack product in a retail operation</w:t>
            </w:r>
          </w:p>
          <w:p w14:paraId="1A1F67C4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AMPX214 Package meat and smallgoods product for retail sale</w:t>
            </w:r>
          </w:p>
          <w:p w14:paraId="41DC84A6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AMPR301 Operate scales and semi-automatic labelling machinery </w:t>
            </w:r>
          </w:p>
          <w:p w14:paraId="43D9A1DB" w14:textId="77777777" w:rsidR="00F934D7" w:rsidRPr="00470378" w:rsidRDefault="00F934D7" w:rsidP="00C73AD1">
            <w:pPr>
              <w:pStyle w:val="SITableBody"/>
              <w:spacing w:before="40" w:afterLines="40" w:after="96"/>
            </w:pPr>
          </w:p>
        </w:tc>
        <w:tc>
          <w:tcPr>
            <w:tcW w:w="2787" w:type="dxa"/>
          </w:tcPr>
          <w:p w14:paraId="0F232853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Applicable  to both retail butchery and smallgoods manufacture. Units must allow flexibility for equipment assessed.</w:t>
            </w:r>
          </w:p>
        </w:tc>
      </w:tr>
      <w:tr w:rsidR="00F934D7" w:rsidRPr="00470378" w14:paraId="45C074B3" w14:textId="77777777" w:rsidTr="002260B1">
        <w:trPr>
          <w:trHeight w:val="1975"/>
        </w:trPr>
        <w:tc>
          <w:tcPr>
            <w:tcW w:w="1775" w:type="dxa"/>
            <w:tcBorders>
              <w:top w:val="single" w:sz="18" w:space="0" w:color="4C7D2C" w:themeColor="accent5"/>
              <w:bottom w:val="single" w:sz="18" w:space="0" w:color="4C7D2C" w:themeColor="accent5"/>
            </w:tcBorders>
          </w:tcPr>
          <w:p w14:paraId="61162911" w14:textId="77777777" w:rsidR="00F934D7" w:rsidRPr="00470378" w:rsidRDefault="00F934D7" w:rsidP="00C73AD1">
            <w:pPr>
              <w:pStyle w:val="SITableHeading2"/>
              <w:spacing w:before="40" w:afterLines="40" w:after="96"/>
            </w:pPr>
            <w:r w:rsidRPr="00470378">
              <w:t>Smallgoods production</w:t>
            </w:r>
          </w:p>
        </w:tc>
        <w:tc>
          <w:tcPr>
            <w:tcW w:w="3050" w:type="dxa"/>
            <w:tcBorders>
              <w:bottom w:val="single" w:sz="18" w:space="0" w:color="4C7D2C" w:themeColor="accent5"/>
            </w:tcBorders>
          </w:tcPr>
          <w:p w14:paraId="2A326564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Smallgoods production processes, including: </w:t>
            </w:r>
          </w:p>
          <w:p w14:paraId="6A687C9A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mincing and emulsification </w:t>
            </w:r>
          </w:p>
          <w:p w14:paraId="45810087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corning and curing </w:t>
            </w:r>
          </w:p>
          <w:p w14:paraId="00FE1A0E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cooking and heat treatment </w:t>
            </w:r>
          </w:p>
          <w:p w14:paraId="2F3A4ADA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drying and smoking </w:t>
            </w:r>
          </w:p>
          <w:p w14:paraId="6A5656C6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Ingredients in recipes  including the role of salt, curing agents, binders and additives </w:t>
            </w:r>
          </w:p>
          <w:p w14:paraId="0D4BDD83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Cooking methods, including roasting, grilling, slow cooking and their impact on product quality </w:t>
            </w:r>
          </w:p>
          <w:p w14:paraId="327D91DA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Preservation techniques, including methods to extend shelf life and ensure food safety Process control variables, such as time, temperature, humidity and handling</w:t>
            </w:r>
          </w:p>
        </w:tc>
        <w:tc>
          <w:tcPr>
            <w:tcW w:w="4477" w:type="dxa"/>
            <w:tcBorders>
              <w:bottom w:val="single" w:sz="18" w:space="0" w:color="4C7D2C" w:themeColor="accent5"/>
            </w:tcBorders>
          </w:tcPr>
          <w:p w14:paraId="165138EE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Preparing minced meat and emulsified products such as sausages, ensuring correct texture and consistency </w:t>
            </w:r>
          </w:p>
          <w:p w14:paraId="4501C90B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Producing value-added products including marinated, seasoned and ready-to-cook items </w:t>
            </w:r>
          </w:p>
          <w:p w14:paraId="708A88E1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Applying curing, corning and smoking techniques to preserve and enhance products </w:t>
            </w:r>
          </w:p>
          <w:p w14:paraId="0DB2106F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Preparing cooked meat products using appropriate cooking methods and controls </w:t>
            </w:r>
          </w:p>
          <w:p w14:paraId="032D2CFF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 xml:space="preserve">Combining ingredients and processes to produce consistent, safe and high-quality products </w:t>
            </w:r>
          </w:p>
          <w:p w14:paraId="7723EEBA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Managing risks associated with ready-to-eat and processed foods, including temperature and contamination control</w:t>
            </w:r>
          </w:p>
        </w:tc>
        <w:tc>
          <w:tcPr>
            <w:tcW w:w="3362" w:type="dxa"/>
            <w:tcBorders>
              <w:bottom w:val="single" w:sz="18" w:space="0" w:color="4C7D2C" w:themeColor="accent5"/>
            </w:tcBorders>
          </w:tcPr>
          <w:p w14:paraId="388A4956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AMPR210 Receive meat products</w:t>
            </w:r>
          </w:p>
          <w:p w14:paraId="2C2C4B13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AMPR208 Make sausages</w:t>
            </w:r>
          </w:p>
          <w:p w14:paraId="3A48E1C8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AMPX213 Despatch meat product</w:t>
            </w:r>
          </w:p>
          <w:p w14:paraId="190A933F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AMPR325 Prepare cooked meat product for retail sale</w:t>
            </w:r>
          </w:p>
          <w:p w14:paraId="45BF8658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AMPS301 Cook steam and cool product</w:t>
            </w:r>
          </w:p>
          <w:p w14:paraId="5F91A91F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AMPR301 Prepare specialised cuts</w:t>
            </w:r>
          </w:p>
          <w:p w14:paraId="7211EB37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AMPR322 Prepare and produce value added products</w:t>
            </w:r>
          </w:p>
          <w:p w14:paraId="34799ED5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AMPX305 Smoke product</w:t>
            </w:r>
          </w:p>
          <w:p w14:paraId="38CF22FA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AMPS301 Cook steam and cool product</w:t>
            </w:r>
          </w:p>
          <w:p w14:paraId="7D7DA33D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AMPR316 Cure, corn and sell product</w:t>
            </w:r>
          </w:p>
          <w:p w14:paraId="2B38FDA3" w14:textId="77777777" w:rsidR="00F934D7" w:rsidRDefault="00F934D7" w:rsidP="00C73AD1">
            <w:pPr>
              <w:pStyle w:val="SITableBody"/>
              <w:spacing w:before="40" w:afterLines="40" w:after="96"/>
            </w:pPr>
            <w:r w:rsidRPr="00470378">
              <w:t>AMPR322 Prepare and produce value-added products</w:t>
            </w:r>
          </w:p>
          <w:p w14:paraId="57EC53DE" w14:textId="191C8C1D" w:rsidR="00765D2C" w:rsidRPr="00470378" w:rsidRDefault="00765D2C" w:rsidP="00C73AD1">
            <w:pPr>
              <w:pStyle w:val="SITableBody"/>
              <w:spacing w:before="40" w:afterLines="40" w:after="96"/>
            </w:pPr>
          </w:p>
        </w:tc>
        <w:tc>
          <w:tcPr>
            <w:tcW w:w="2787" w:type="dxa"/>
            <w:tcBorders>
              <w:bottom w:val="single" w:sz="18" w:space="0" w:color="4C7D2C" w:themeColor="accent5"/>
            </w:tcBorders>
          </w:tcPr>
          <w:p w14:paraId="205A5D77" w14:textId="77777777" w:rsidR="00F934D7" w:rsidRPr="00470378" w:rsidRDefault="00F934D7" w:rsidP="00C73AD1">
            <w:pPr>
              <w:pStyle w:val="SITableBody"/>
              <w:spacing w:before="40" w:afterLines="40" w:after="96"/>
            </w:pPr>
            <w:r w:rsidRPr="00470378">
              <w:t>Applicable to both retail butchery and Smallgoods Manufacture – which needs to allow for a wider range of equipment and techniques automation and robotics)</w:t>
            </w:r>
          </w:p>
        </w:tc>
      </w:tr>
      <w:tr w:rsidR="002F5820" w:rsidRPr="00470378" w14:paraId="26350249" w14:textId="77777777" w:rsidTr="001D1C13">
        <w:tc>
          <w:tcPr>
            <w:tcW w:w="15451" w:type="dxa"/>
            <w:gridSpan w:val="5"/>
            <w:tcBorders>
              <w:top w:val="single" w:sz="18" w:space="0" w:color="4C7D2C" w:themeColor="accent5"/>
              <w:bottom w:val="single" w:sz="18" w:space="0" w:color="4C7D2C" w:themeColor="accent5"/>
            </w:tcBorders>
          </w:tcPr>
          <w:p w14:paraId="176203B5" w14:textId="2F754359" w:rsidR="002F5820" w:rsidRPr="00470378" w:rsidRDefault="002F5820" w:rsidP="00765D2C">
            <w:pPr>
              <w:pStyle w:val="SITableHeading1"/>
              <w:spacing w:before="120" w:after="120"/>
            </w:pPr>
            <w:r w:rsidRPr="00470378">
              <w:t>Identified emerging areas for butchery and smallgoods businesses</w:t>
            </w:r>
          </w:p>
        </w:tc>
      </w:tr>
      <w:tr w:rsidR="002F5820" w:rsidRPr="00470378" w14:paraId="664B4FD0" w14:textId="77777777" w:rsidTr="002260B1">
        <w:trPr>
          <w:trHeight w:val="1975"/>
        </w:trPr>
        <w:tc>
          <w:tcPr>
            <w:tcW w:w="1775" w:type="dxa"/>
            <w:tcBorders>
              <w:top w:val="single" w:sz="18" w:space="0" w:color="4C7D2C" w:themeColor="accent5"/>
              <w:bottom w:val="single" w:sz="18" w:space="0" w:color="4C7D2C" w:themeColor="accent5"/>
            </w:tcBorders>
          </w:tcPr>
          <w:p w14:paraId="6EF9C996" w14:textId="06F2430E" w:rsidR="002F5820" w:rsidRPr="00470378" w:rsidRDefault="002F5820" w:rsidP="00C73AD1">
            <w:pPr>
              <w:pStyle w:val="SITableHeading2"/>
              <w:spacing w:before="40" w:afterLines="40" w:after="96"/>
            </w:pPr>
            <w:r w:rsidRPr="00470378">
              <w:lastRenderedPageBreak/>
              <w:t xml:space="preserve">Butchery operations </w:t>
            </w:r>
          </w:p>
        </w:tc>
        <w:tc>
          <w:tcPr>
            <w:tcW w:w="3050" w:type="dxa"/>
            <w:tcBorders>
              <w:top w:val="single" w:sz="18" w:space="0" w:color="4C7D2C" w:themeColor="accent5"/>
            </w:tcBorders>
          </w:tcPr>
          <w:p w14:paraId="17031C12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t xml:space="preserve">Costing and pricing principles, including calculation of margins, mark-ups and profitability </w:t>
            </w:r>
          </w:p>
          <w:p w14:paraId="6D58A9EA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t xml:space="preserve">Stock control systems, including ordering, rotation, and minimisation of waste </w:t>
            </w:r>
          </w:p>
          <w:p w14:paraId="7D7B6BDE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t xml:space="preserve">Supply chain processes, including receival, storage and distribution of products </w:t>
            </w:r>
          </w:p>
          <w:p w14:paraId="02E61937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t xml:space="preserve">Basic financial concepts, including sales tracking and performance indicators </w:t>
            </w:r>
          </w:p>
          <w:p w14:paraId="5062064E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t xml:space="preserve">Workplace productivity and efficiency, including time management and workflow organisation </w:t>
            </w:r>
          </w:p>
          <w:p w14:paraId="7FB76D8F" w14:textId="5B98C86F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t>Data interpretation, including basic statistical analysis and reporting</w:t>
            </w:r>
          </w:p>
        </w:tc>
        <w:tc>
          <w:tcPr>
            <w:tcW w:w="4477" w:type="dxa"/>
            <w:tcBorders>
              <w:top w:val="single" w:sz="18" w:space="0" w:color="4C7D2C" w:themeColor="accent5"/>
            </w:tcBorders>
          </w:tcPr>
          <w:p w14:paraId="0F4E42F6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t xml:space="preserve">Managing stock levels, including ordering, rotation and waste minimisation </w:t>
            </w:r>
          </w:p>
          <w:p w14:paraId="486B9BC7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t xml:space="preserve">Calculating product costs, pricing and margins to ensure profitability </w:t>
            </w:r>
          </w:p>
          <w:p w14:paraId="6343F4E9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t xml:space="preserve">Interpreting basic business data and performance indicators </w:t>
            </w:r>
          </w:p>
          <w:p w14:paraId="3AF300B5" w14:textId="411783C2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t>Applying organisational procedures to support efficient business operations</w:t>
            </w:r>
          </w:p>
        </w:tc>
        <w:tc>
          <w:tcPr>
            <w:tcW w:w="3362" w:type="dxa"/>
            <w:tcBorders>
              <w:top w:val="single" w:sz="18" w:space="0" w:color="4C7D2C" w:themeColor="accent5"/>
            </w:tcBorders>
          </w:tcPr>
          <w:p w14:paraId="3E267FA5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t>AMPR310 Cost and price meat products</w:t>
            </w:r>
          </w:p>
          <w:p w14:paraId="65FBB26F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t>AMPR304 Manage stock</w:t>
            </w:r>
          </w:p>
          <w:p w14:paraId="03F92FD5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t>AMPR313 Order stock in a meat enterprise</w:t>
            </w:r>
          </w:p>
          <w:p w14:paraId="176F000A" w14:textId="09ACBA40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t>AMP314 Calculate and present statistical data in a meat enterprise</w:t>
            </w:r>
          </w:p>
        </w:tc>
        <w:tc>
          <w:tcPr>
            <w:tcW w:w="2787" w:type="dxa"/>
            <w:tcBorders>
              <w:top w:val="single" w:sz="18" w:space="0" w:color="4C7D2C" w:themeColor="accent5"/>
            </w:tcBorders>
          </w:tcPr>
          <w:p w14:paraId="186142C5" w14:textId="77777777" w:rsidR="002F5820" w:rsidRPr="00470378" w:rsidRDefault="002F5820" w:rsidP="00C73AD1">
            <w:pPr>
              <w:pStyle w:val="SITableBody"/>
              <w:spacing w:before="40" w:afterLines="40" w:after="96"/>
            </w:pPr>
          </w:p>
        </w:tc>
      </w:tr>
      <w:tr w:rsidR="002F5820" w:rsidRPr="00470378" w14:paraId="6E4F34B7" w14:textId="77777777" w:rsidTr="002260B1">
        <w:trPr>
          <w:trHeight w:val="1975"/>
        </w:trPr>
        <w:tc>
          <w:tcPr>
            <w:tcW w:w="1775" w:type="dxa"/>
            <w:tcBorders>
              <w:top w:val="single" w:sz="18" w:space="0" w:color="4C7D2C" w:themeColor="accent5"/>
              <w:bottom w:val="single" w:sz="18" w:space="0" w:color="4C7D2C" w:themeColor="accent5"/>
            </w:tcBorders>
          </w:tcPr>
          <w:p w14:paraId="4271E1BF" w14:textId="77777777" w:rsidR="002F5820" w:rsidRPr="00470378" w:rsidRDefault="002F5820" w:rsidP="00C73AD1">
            <w:pPr>
              <w:pStyle w:val="SITableHeading2"/>
              <w:spacing w:before="40" w:afterLines="40" w:after="96"/>
            </w:pPr>
            <w:r w:rsidRPr="00470378">
              <w:t>Online marketing and promotion</w:t>
            </w:r>
          </w:p>
          <w:p w14:paraId="2DC77FD6" w14:textId="77777777" w:rsidR="002F5820" w:rsidRPr="00470378" w:rsidRDefault="002F5820" w:rsidP="00C73AD1">
            <w:pPr>
              <w:pStyle w:val="SITableHeading2"/>
              <w:spacing w:before="40" w:afterLines="40" w:after="96"/>
            </w:pPr>
          </w:p>
        </w:tc>
        <w:tc>
          <w:tcPr>
            <w:tcW w:w="3050" w:type="dxa"/>
          </w:tcPr>
          <w:p w14:paraId="25EE3494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t xml:space="preserve">Digital marketing principles, including use of social media platforms (e.g. Facebook, Instagram) for product promotion </w:t>
            </w:r>
          </w:p>
          <w:p w14:paraId="3E63E396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t xml:space="preserve">Online sales channels, including e-commerce platforms and click-and-collect models </w:t>
            </w:r>
          </w:p>
          <w:p w14:paraId="191ED8D2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lastRenderedPageBreak/>
              <w:t xml:space="preserve">Customer engagement strategies in digital environments </w:t>
            </w:r>
          </w:p>
          <w:p w14:paraId="4F70B645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t xml:space="preserve">Branding and product positioning in a competitive retail market </w:t>
            </w:r>
          </w:p>
          <w:p w14:paraId="320D67EF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t xml:space="preserve">Legal and ethical considerations in advertising (e.g. accurate product representation, claims) </w:t>
            </w:r>
          </w:p>
          <w:p w14:paraId="475900C2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t xml:space="preserve">Basic analytics and performance measurement (e.g. engagement, sales conversion) </w:t>
            </w:r>
          </w:p>
          <w:p w14:paraId="597FFC26" w14:textId="77777777" w:rsidR="002F5820" w:rsidRPr="00470378" w:rsidRDefault="002F5820" w:rsidP="00C73AD1">
            <w:pPr>
              <w:pStyle w:val="SITableBody"/>
              <w:spacing w:before="40" w:afterLines="40" w:after="96"/>
            </w:pPr>
          </w:p>
        </w:tc>
        <w:tc>
          <w:tcPr>
            <w:tcW w:w="4477" w:type="dxa"/>
          </w:tcPr>
          <w:p w14:paraId="3C7EF083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lastRenderedPageBreak/>
              <w:t xml:space="preserve">Promoting products and services through social media and online platforms </w:t>
            </w:r>
          </w:p>
          <w:p w14:paraId="6CDDA9DA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t xml:space="preserve">Creating and maintaining digital content (e.g. product posts, promotions, specials) </w:t>
            </w:r>
          </w:p>
          <w:p w14:paraId="0ECA0F5A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t xml:space="preserve">Engaging with customers online, including responding to enquiries and feedback </w:t>
            </w:r>
          </w:p>
          <w:p w14:paraId="78BBAC9C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t xml:space="preserve">Supporting online ordering systems and coordinating fulfilment (e.g. click-and-collect) </w:t>
            </w:r>
          </w:p>
          <w:p w14:paraId="52D9D05C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lastRenderedPageBreak/>
              <w:t xml:space="preserve">Applying branding and presentation principles to digital content </w:t>
            </w:r>
          </w:p>
          <w:p w14:paraId="091B44A6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t xml:space="preserve">Monitoring basic performance indicators (e.g. sales trends, customer engagement) and adjusting approaches </w:t>
            </w:r>
          </w:p>
          <w:p w14:paraId="1DF91B9E" w14:textId="77777777" w:rsidR="002F5820" w:rsidRPr="00470378" w:rsidRDefault="002F5820" w:rsidP="00C73AD1">
            <w:pPr>
              <w:pStyle w:val="SITableBody"/>
              <w:spacing w:before="40" w:afterLines="40" w:after="96"/>
            </w:pPr>
          </w:p>
        </w:tc>
        <w:tc>
          <w:tcPr>
            <w:tcW w:w="3362" w:type="dxa"/>
          </w:tcPr>
          <w:p w14:paraId="78A53FC1" w14:textId="76254501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lastRenderedPageBreak/>
              <w:t>Implement marketing strategies for a meat and smallgoods business</w:t>
            </w:r>
          </w:p>
        </w:tc>
        <w:tc>
          <w:tcPr>
            <w:tcW w:w="2787" w:type="dxa"/>
          </w:tcPr>
          <w:p w14:paraId="768BDAA0" w14:textId="77777777" w:rsidR="002F5820" w:rsidRPr="00470378" w:rsidRDefault="002F5820" w:rsidP="00C73AD1">
            <w:pPr>
              <w:pStyle w:val="SITableBody"/>
              <w:spacing w:before="40" w:afterLines="40" w:after="96"/>
            </w:pPr>
          </w:p>
        </w:tc>
      </w:tr>
      <w:tr w:rsidR="002F5820" w:rsidRPr="00470378" w14:paraId="759B1948" w14:textId="77777777" w:rsidTr="002260B1">
        <w:trPr>
          <w:trHeight w:val="1975"/>
        </w:trPr>
        <w:tc>
          <w:tcPr>
            <w:tcW w:w="1775" w:type="dxa"/>
            <w:tcBorders>
              <w:top w:val="single" w:sz="18" w:space="0" w:color="4C7D2C" w:themeColor="accent5"/>
              <w:bottom w:val="single" w:sz="18" w:space="0" w:color="4C7D2C" w:themeColor="accent5"/>
            </w:tcBorders>
          </w:tcPr>
          <w:p w14:paraId="0ED53A1E" w14:textId="77777777" w:rsidR="002F5820" w:rsidRPr="00470378" w:rsidRDefault="002F5820" w:rsidP="00C73AD1">
            <w:pPr>
              <w:pStyle w:val="SITableHeading2"/>
              <w:spacing w:before="40" w:afterLines="40" w:after="96"/>
            </w:pPr>
            <w:r w:rsidRPr="00470378">
              <w:t>Ready-to-eat meals and expanded smallgoods capability</w:t>
            </w:r>
          </w:p>
          <w:p w14:paraId="689E184D" w14:textId="77777777" w:rsidR="002F5820" w:rsidRPr="00470378" w:rsidRDefault="002F5820" w:rsidP="00C73AD1">
            <w:pPr>
              <w:pStyle w:val="SITableHeading2"/>
              <w:spacing w:before="40" w:afterLines="40" w:after="96"/>
            </w:pPr>
          </w:p>
        </w:tc>
        <w:tc>
          <w:tcPr>
            <w:tcW w:w="3050" w:type="dxa"/>
            <w:tcBorders>
              <w:bottom w:val="single" w:sz="4" w:space="0" w:color="4C7D2C" w:themeColor="accent5"/>
            </w:tcBorders>
          </w:tcPr>
          <w:p w14:paraId="25234307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t xml:space="preserve">Food safety requirements for ready-to-eat (RTE) and ready-to-cook (RTC) products, including higher-risk categories </w:t>
            </w:r>
          </w:p>
          <w:p w14:paraId="54CF2AE0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t xml:space="preserve">Advanced product development principles, including formulation, flavour profiles and shelf life considerations </w:t>
            </w:r>
          </w:p>
          <w:p w14:paraId="2AACAA38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t xml:space="preserve">Cooking, chilling and reheating processes and their impact on food safety and quality </w:t>
            </w:r>
          </w:p>
          <w:p w14:paraId="3D0AEDD3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lastRenderedPageBreak/>
              <w:t xml:space="preserve">Packaging requirements for RTE/RTC products, including modified atmosphere packaging (MAP) and labelling </w:t>
            </w:r>
          </w:p>
          <w:p w14:paraId="67529C6E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t xml:space="preserve">Consumer trends in convenience foods and meal solutions </w:t>
            </w:r>
          </w:p>
          <w:p w14:paraId="67480D90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t xml:space="preserve">Nutritional considerations and portion control in prepared meals </w:t>
            </w:r>
          </w:p>
          <w:p w14:paraId="14171DFD" w14:textId="77777777" w:rsidR="002F5820" w:rsidRPr="00470378" w:rsidRDefault="002F5820" w:rsidP="00C73AD1">
            <w:pPr>
              <w:pStyle w:val="SITableBody"/>
              <w:spacing w:before="40" w:afterLines="40" w:after="96"/>
            </w:pPr>
          </w:p>
        </w:tc>
        <w:tc>
          <w:tcPr>
            <w:tcW w:w="4477" w:type="dxa"/>
            <w:tcBorders>
              <w:bottom w:val="single" w:sz="4" w:space="0" w:color="4C7D2C" w:themeColor="accent5"/>
            </w:tcBorders>
          </w:tcPr>
          <w:p w14:paraId="523D32D7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lastRenderedPageBreak/>
              <w:t xml:space="preserve">Preparing ready-to-eat and ready-to-cook products using safe and consistent processes </w:t>
            </w:r>
          </w:p>
          <w:p w14:paraId="10D440AB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t xml:space="preserve">Applying cooking, cooling and storage techniques to maintain product safety and quality </w:t>
            </w:r>
          </w:p>
          <w:p w14:paraId="39C19C70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t xml:space="preserve">Developing and presenting value-added meal solutions tailored to customer needs </w:t>
            </w:r>
          </w:p>
          <w:p w14:paraId="539B56FE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t xml:space="preserve">Selecting and applying appropriate packaging methods to extend shelf life and maintain product integrity </w:t>
            </w:r>
          </w:p>
          <w:p w14:paraId="0965341B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t xml:space="preserve">Managing food safety risks specific to high-risk products (e.g. Listeria control, cross-contamination) </w:t>
            </w:r>
          </w:p>
          <w:p w14:paraId="0A8C9D85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lastRenderedPageBreak/>
              <w:t xml:space="preserve">Innovating and adapting product offerings based on customer demand and market trends </w:t>
            </w:r>
          </w:p>
          <w:p w14:paraId="55E6287C" w14:textId="77777777" w:rsidR="002F5820" w:rsidRPr="00470378" w:rsidRDefault="002F5820" w:rsidP="00C73AD1">
            <w:pPr>
              <w:pStyle w:val="SITableBody"/>
              <w:spacing w:before="40" w:afterLines="40" w:after="96"/>
            </w:pPr>
          </w:p>
        </w:tc>
        <w:tc>
          <w:tcPr>
            <w:tcW w:w="3362" w:type="dxa"/>
            <w:tcBorders>
              <w:bottom w:val="single" w:sz="4" w:space="0" w:color="4C7D2C" w:themeColor="accent5"/>
            </w:tcBorders>
          </w:tcPr>
          <w:p w14:paraId="79ABF203" w14:textId="77777777" w:rsidR="002F5820" w:rsidRPr="00470378" w:rsidRDefault="002F5820" w:rsidP="00C73AD1">
            <w:pPr>
              <w:pStyle w:val="SITableBody"/>
              <w:spacing w:before="40" w:afterLines="40" w:after="96"/>
            </w:pPr>
          </w:p>
        </w:tc>
        <w:tc>
          <w:tcPr>
            <w:tcW w:w="2787" w:type="dxa"/>
            <w:tcBorders>
              <w:bottom w:val="single" w:sz="4" w:space="0" w:color="4C7D2C" w:themeColor="accent5"/>
            </w:tcBorders>
          </w:tcPr>
          <w:p w14:paraId="54705C8B" w14:textId="77777777" w:rsidR="002F5820" w:rsidRPr="00470378" w:rsidRDefault="002F5820" w:rsidP="00C73AD1">
            <w:pPr>
              <w:pStyle w:val="SITableBody"/>
              <w:spacing w:before="40" w:afterLines="40" w:after="96"/>
            </w:pPr>
          </w:p>
        </w:tc>
      </w:tr>
      <w:tr w:rsidR="002F5820" w:rsidRPr="00470378" w14:paraId="6CA2E28D" w14:textId="77777777" w:rsidTr="002260B1">
        <w:trPr>
          <w:trHeight w:val="1975"/>
        </w:trPr>
        <w:tc>
          <w:tcPr>
            <w:tcW w:w="1775" w:type="dxa"/>
            <w:tcBorders>
              <w:top w:val="single" w:sz="18" w:space="0" w:color="4C7D2C" w:themeColor="accent5"/>
              <w:bottom w:val="single" w:sz="18" w:space="0" w:color="4C7D2C" w:themeColor="accent5"/>
            </w:tcBorders>
          </w:tcPr>
          <w:p w14:paraId="0576CC44" w14:textId="4F83A326" w:rsidR="002F5820" w:rsidRPr="00470378" w:rsidRDefault="002F5820" w:rsidP="00C73AD1">
            <w:pPr>
              <w:pStyle w:val="SITableHeading2"/>
              <w:spacing w:before="40" w:afterLines="40" w:after="96"/>
            </w:pPr>
            <w:r w:rsidRPr="00470378">
              <w:t xml:space="preserve">Certification  systems </w:t>
            </w:r>
          </w:p>
        </w:tc>
        <w:tc>
          <w:tcPr>
            <w:tcW w:w="3050" w:type="dxa"/>
            <w:tcBorders>
              <w:top w:val="single" w:sz="4" w:space="0" w:color="4C7D2C" w:themeColor="accent5"/>
              <w:bottom w:val="single" w:sz="18" w:space="0" w:color="4C7D2C" w:themeColor="accent5"/>
            </w:tcBorders>
          </w:tcPr>
          <w:p w14:paraId="0816CC9D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t>Certification systems and their outcomes (halal, kosher, gluten free)</w:t>
            </w:r>
          </w:p>
          <w:p w14:paraId="6DB45469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t>Sourcing ingredients</w:t>
            </w:r>
          </w:p>
          <w:p w14:paraId="3A1734E2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t>Slaughtering requirements</w:t>
            </w:r>
          </w:p>
          <w:p w14:paraId="27549BF1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t>Separation of production areas</w:t>
            </w:r>
          </w:p>
          <w:p w14:paraId="73EF3E38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t>Eliminating contamination risk</w:t>
            </w:r>
          </w:p>
          <w:p w14:paraId="3C32EA19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t>Marketing product</w:t>
            </w:r>
          </w:p>
          <w:p w14:paraId="39870C05" w14:textId="77777777" w:rsidR="002F5820" w:rsidRPr="00470378" w:rsidRDefault="002F5820" w:rsidP="00C73AD1">
            <w:pPr>
              <w:pStyle w:val="SITableBody"/>
              <w:spacing w:before="40" w:afterLines="40" w:after="96"/>
            </w:pPr>
          </w:p>
        </w:tc>
        <w:tc>
          <w:tcPr>
            <w:tcW w:w="4477" w:type="dxa"/>
            <w:tcBorders>
              <w:top w:val="single" w:sz="4" w:space="0" w:color="4C7D2C" w:themeColor="accent5"/>
              <w:bottom w:val="single" w:sz="18" w:space="0" w:color="4C7D2C" w:themeColor="accent5"/>
            </w:tcBorders>
          </w:tcPr>
          <w:p w14:paraId="084B8F63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t xml:space="preserve">Requirements of certification systems such as Halal, Kosher, organic and export certification schemes </w:t>
            </w:r>
          </w:p>
          <w:p w14:paraId="55C87552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t xml:space="preserve">Regulatory and audit requirements associated with certification systems </w:t>
            </w:r>
          </w:p>
          <w:p w14:paraId="0649B903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t xml:space="preserve">Segregation and traceability requirements for certified products </w:t>
            </w:r>
          </w:p>
          <w:p w14:paraId="554B62FC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t xml:space="preserve">Documentation and record-keeping requirements for compliance and auditing </w:t>
            </w:r>
          </w:p>
          <w:p w14:paraId="48212E8B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t xml:space="preserve">Cultural and ethical considerations associated with certification systems </w:t>
            </w:r>
          </w:p>
          <w:p w14:paraId="3C0371E6" w14:textId="77777777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t xml:space="preserve">Relationship between certification systems and food safety/QA programs </w:t>
            </w:r>
          </w:p>
          <w:p w14:paraId="0CE4E1F4" w14:textId="77777777" w:rsidR="002F5820" w:rsidRPr="00470378" w:rsidRDefault="002F5820" w:rsidP="00C73AD1">
            <w:pPr>
              <w:pStyle w:val="SITableBody"/>
              <w:spacing w:before="40" w:afterLines="40" w:after="96"/>
            </w:pPr>
          </w:p>
        </w:tc>
        <w:tc>
          <w:tcPr>
            <w:tcW w:w="3362" w:type="dxa"/>
            <w:tcBorders>
              <w:top w:val="single" w:sz="4" w:space="0" w:color="4C7D2C" w:themeColor="accent5"/>
              <w:bottom w:val="single" w:sz="18" w:space="0" w:color="4C7D2C" w:themeColor="accent5"/>
            </w:tcBorders>
          </w:tcPr>
          <w:p w14:paraId="43BD01B7" w14:textId="6B355181" w:rsidR="002F5820" w:rsidRPr="00470378" w:rsidRDefault="002F5820" w:rsidP="00C73AD1">
            <w:pPr>
              <w:pStyle w:val="SITableBody"/>
              <w:spacing w:before="40" w:afterLines="40" w:after="96"/>
            </w:pPr>
            <w:r w:rsidRPr="00470378">
              <w:t>Meet certification systems for meat retailing</w:t>
            </w:r>
          </w:p>
        </w:tc>
        <w:tc>
          <w:tcPr>
            <w:tcW w:w="2787" w:type="dxa"/>
            <w:tcBorders>
              <w:top w:val="single" w:sz="4" w:space="0" w:color="4C7D2C" w:themeColor="accent5"/>
              <w:bottom w:val="single" w:sz="18" w:space="0" w:color="4C7D2C" w:themeColor="accent5"/>
            </w:tcBorders>
          </w:tcPr>
          <w:p w14:paraId="44F7AC89" w14:textId="77777777" w:rsidR="002F5820" w:rsidRPr="00470378" w:rsidRDefault="002F5820" w:rsidP="00C73AD1">
            <w:pPr>
              <w:pStyle w:val="SITableBody"/>
              <w:spacing w:before="40" w:afterLines="40" w:after="96"/>
            </w:pPr>
          </w:p>
        </w:tc>
      </w:tr>
    </w:tbl>
    <w:p w14:paraId="21A8FFD2" w14:textId="77777777" w:rsidR="00F934D7" w:rsidRDefault="00F934D7" w:rsidP="00F934D7"/>
    <w:p w14:paraId="62713BC4" w14:textId="77777777" w:rsidR="002F5820" w:rsidRDefault="002F5820" w:rsidP="00F934D7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6"/>
        <w:gridCol w:w="8278"/>
      </w:tblGrid>
      <w:tr w:rsidR="00A603BB" w14:paraId="51BC87B7" w14:textId="77777777" w:rsidTr="00FC6460">
        <w:tc>
          <w:tcPr>
            <w:tcW w:w="1134" w:type="dxa"/>
          </w:tcPr>
          <w:p w14:paraId="4D2A454C" w14:textId="77777777" w:rsidR="00A603BB" w:rsidRDefault="00A603BB" w:rsidP="00FC6460">
            <w:pPr>
              <w:pStyle w:val="SIBodyText"/>
            </w:pPr>
            <w:r>
              <w:rPr>
                <w:noProof/>
              </w:rPr>
              <w:lastRenderedPageBreak/>
              <w:drawing>
                <wp:inline distT="0" distB="0" distL="0" distR="0" wp14:anchorId="0BE04529" wp14:editId="62BAFD8D">
                  <wp:extent cx="1521419" cy="767442"/>
                  <wp:effectExtent l="0" t="0" r="3175" b="0"/>
                  <wp:docPr id="1861852329" name="Picture 4" descr="A black background with green tex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1852329" name="Picture 4" descr="A black background with green text&#10;&#10;AI-generated content may be incorrect.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1410" cy="782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78" w:type="dxa"/>
            <w:vAlign w:val="center"/>
          </w:tcPr>
          <w:p w14:paraId="69B14BF9" w14:textId="77777777" w:rsidR="00A603BB" w:rsidRDefault="00A603BB" w:rsidP="00FC6460">
            <w:pPr>
              <w:pStyle w:val="SIBodyText"/>
              <w:ind w:firstLine="551"/>
            </w:pPr>
            <w:r>
              <w:rPr>
                <w:noProof/>
              </w:rPr>
              <w:drawing>
                <wp:inline distT="0" distB="0" distL="0" distR="0" wp14:anchorId="1C19698F" wp14:editId="66B65397">
                  <wp:extent cx="4508582" cy="506186"/>
                  <wp:effectExtent l="0" t="0" r="0" b="1905"/>
                  <wp:docPr id="1694569437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3979555" name="Picture 2043979555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38807" cy="5208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8AF65C6" w14:textId="77777777" w:rsidR="00A603BB" w:rsidRPr="00FF5474" w:rsidRDefault="00A603BB" w:rsidP="00FF5474">
      <w:pPr>
        <w:pStyle w:val="BodyTextSI"/>
      </w:pPr>
      <w:r w:rsidRPr="00FF5474">
        <w:t>Skills Insight is a Jobs and Skills Council funded by the Australian Government Department of Employment and Workplace Relations.</w:t>
      </w:r>
    </w:p>
    <w:p w14:paraId="2745D4AD" w14:textId="19E65930" w:rsidR="002F5820" w:rsidRDefault="002F5820">
      <w:pPr>
        <w:spacing w:before="120" w:after="120" w:line="240" w:lineRule="auto"/>
      </w:pPr>
    </w:p>
    <w:p w14:paraId="42457B9F" w14:textId="78B9B000" w:rsidR="00FF5474" w:rsidRDefault="00FF5474" w:rsidP="00FF5474">
      <w:pPr>
        <w:pStyle w:val="BodyTextSI"/>
      </w:pPr>
      <w:r>
        <w:t>This project is being managed by MINTRAC as part of their collaborative partnership with Skills Insight.</w:t>
      </w:r>
    </w:p>
    <w:sectPr w:rsidR="00FF5474" w:rsidSect="009D6405">
      <w:headerReference w:type="default" r:id="rId12"/>
      <w:headerReference w:type="first" r:id="rId13"/>
      <w:footerReference w:type="first" r:id="rId14"/>
      <w:pgSz w:w="16838" w:h="11906" w:orient="landscape"/>
      <w:pgMar w:top="1247" w:right="568" w:bottom="124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54541" w14:textId="77777777" w:rsidR="008F5F89" w:rsidRDefault="008F5F89" w:rsidP="00AC66D8">
      <w:r>
        <w:separator/>
      </w:r>
    </w:p>
  </w:endnote>
  <w:endnote w:type="continuationSeparator" w:id="0">
    <w:p w14:paraId="21D6E6C0" w14:textId="77777777" w:rsidR="008F5F89" w:rsidRDefault="008F5F89" w:rsidP="00AC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venir Next LT Pro">
    <w:panose1 w:val="020B0504020202020204"/>
    <w:charset w:val="00"/>
    <w:family w:val="swiss"/>
    <w:pitch w:val="variable"/>
    <w:sig w:usb0="800000EF" w:usb1="5000204A" w:usb2="00000000" w:usb3="00000000" w:csb0="00000093" w:csb1="00000000"/>
  </w:font>
  <w:font w:name="Avenir Next LT Pro Demi">
    <w:panose1 w:val="020B0704020202020204"/>
    <w:charset w:val="00"/>
    <w:family w:val="swiss"/>
    <w:pitch w:val="variable"/>
    <w:sig w:usb0="800000EF" w:usb1="5000204A" w:usb2="00000000" w:usb3="00000000" w:csb0="00000093" w:csb1="00000000"/>
  </w:font>
  <w:font w:name="Avenir LT Std 65 Medium">
    <w:altName w:val="Calibri"/>
    <w:panose1 w:val="02000603020000020003"/>
    <w:charset w:val="00"/>
    <w:family w:val="auto"/>
    <w:pitch w:val="variable"/>
    <w:sig w:usb0="800000AF" w:usb1="5000204A" w:usb2="00000000" w:usb3="00000000" w:csb0="0000009B" w:csb1="00000000"/>
  </w:font>
  <w:font w:name="Avenir LT Std 45 Book">
    <w:altName w:val="Calibri"/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604006443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6862EA" w14:textId="61DDB89E" w:rsidR="000A1FFA" w:rsidRPr="000A1FFA" w:rsidRDefault="000A1FFA" w:rsidP="000A1FFA">
            <w:pPr>
              <w:pStyle w:val="BodyTextSI"/>
              <w:jc w:val="right"/>
              <w:rPr>
                <w:sz w:val="18"/>
                <w:szCs w:val="18"/>
              </w:rPr>
            </w:pPr>
            <w:r w:rsidRPr="000A1FFA">
              <w:rPr>
                <w:sz w:val="18"/>
                <w:szCs w:val="18"/>
              </w:rPr>
              <w:t xml:space="preserve">Page </w:t>
            </w:r>
            <w:r w:rsidRPr="000A1FFA">
              <w:rPr>
                <w:bCs w:val="0"/>
                <w:sz w:val="18"/>
                <w:szCs w:val="18"/>
              </w:rPr>
              <w:fldChar w:fldCharType="begin"/>
            </w:r>
            <w:r w:rsidRPr="000A1FFA">
              <w:rPr>
                <w:sz w:val="18"/>
                <w:szCs w:val="18"/>
              </w:rPr>
              <w:instrText xml:space="preserve"> PAGE </w:instrText>
            </w:r>
            <w:r w:rsidRPr="000A1FFA">
              <w:rPr>
                <w:bCs w:val="0"/>
                <w:sz w:val="18"/>
                <w:szCs w:val="18"/>
              </w:rPr>
              <w:fldChar w:fldCharType="separate"/>
            </w:r>
            <w:r w:rsidRPr="000A1FFA">
              <w:rPr>
                <w:noProof/>
                <w:sz w:val="18"/>
                <w:szCs w:val="18"/>
              </w:rPr>
              <w:t>2</w:t>
            </w:r>
            <w:r w:rsidRPr="000A1FFA">
              <w:rPr>
                <w:bCs w:val="0"/>
                <w:sz w:val="18"/>
                <w:szCs w:val="18"/>
              </w:rPr>
              <w:fldChar w:fldCharType="end"/>
            </w:r>
            <w:r w:rsidRPr="000A1FFA">
              <w:rPr>
                <w:sz w:val="18"/>
                <w:szCs w:val="18"/>
              </w:rPr>
              <w:t xml:space="preserve"> of </w:t>
            </w:r>
            <w:r w:rsidRPr="000A1FFA">
              <w:rPr>
                <w:bCs w:val="0"/>
                <w:sz w:val="18"/>
                <w:szCs w:val="18"/>
              </w:rPr>
              <w:fldChar w:fldCharType="begin"/>
            </w:r>
            <w:r w:rsidRPr="000A1FFA">
              <w:rPr>
                <w:sz w:val="18"/>
                <w:szCs w:val="18"/>
              </w:rPr>
              <w:instrText xml:space="preserve"> NUMPAGES  </w:instrText>
            </w:r>
            <w:r w:rsidRPr="000A1FFA">
              <w:rPr>
                <w:bCs w:val="0"/>
                <w:sz w:val="18"/>
                <w:szCs w:val="18"/>
              </w:rPr>
              <w:fldChar w:fldCharType="separate"/>
            </w:r>
            <w:r w:rsidRPr="000A1FFA">
              <w:rPr>
                <w:noProof/>
                <w:sz w:val="18"/>
                <w:szCs w:val="18"/>
              </w:rPr>
              <w:t>2</w:t>
            </w:r>
            <w:r w:rsidRPr="000A1FFA">
              <w:rPr>
                <w:bCs w:val="0"/>
                <w:sz w:val="18"/>
                <w:szCs w:val="18"/>
              </w:rPr>
              <w:fldChar w:fldCharType="end"/>
            </w:r>
          </w:p>
        </w:sdtContent>
      </w:sdt>
    </w:sdtContent>
  </w:sdt>
  <w:p w14:paraId="51D16F24" w14:textId="534823AF" w:rsidR="000A1FFA" w:rsidRPr="00823DD1" w:rsidRDefault="00823DD1" w:rsidP="00823DD1">
    <w:pPr>
      <w:pStyle w:val="BodyTextSI"/>
      <w:rPr>
        <w:sz w:val="18"/>
        <w:szCs w:val="18"/>
      </w:rPr>
    </w:pPr>
    <w:r w:rsidRPr="00823DD1">
      <w:rPr>
        <w:sz w:val="18"/>
        <w:szCs w:val="18"/>
      </w:rPr>
      <w:t xml:space="preserve">AMP SKI_ANN_2526_003 AMP Stage 3 Review (Retail Butchery and Smallgoods Sectors) </w:t>
    </w:r>
    <w:r w:rsidRPr="00823DD1">
      <w:rPr>
        <w:sz w:val="18"/>
        <w:szCs w:val="18"/>
      </w:rPr>
      <w:br/>
      <w:t xml:space="preserve">Workforce Functional Analysis - </w:t>
    </w:r>
    <w:r w:rsidR="002B41C4" w:rsidRPr="00823DD1">
      <w:rPr>
        <w:sz w:val="18"/>
        <w:szCs w:val="18"/>
      </w:rPr>
      <w:t>Appendix 4:</w:t>
    </w:r>
    <w:r w:rsidRPr="00823DD1">
      <w:rPr>
        <w:sz w:val="18"/>
        <w:szCs w:val="18"/>
      </w:rPr>
      <w:t xml:space="preserve"> </w:t>
    </w:r>
    <w:r w:rsidR="002B41C4" w:rsidRPr="00823DD1">
      <w:rPr>
        <w:sz w:val="18"/>
        <w:szCs w:val="18"/>
      </w:rPr>
      <w:t>Exemplar of key functional areas and units for AMP30815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1AB5E" w14:textId="77777777" w:rsidR="008F5F89" w:rsidRDefault="008F5F89" w:rsidP="00AC66D8">
      <w:r>
        <w:separator/>
      </w:r>
    </w:p>
  </w:footnote>
  <w:footnote w:type="continuationSeparator" w:id="0">
    <w:p w14:paraId="68C5C318" w14:textId="77777777" w:rsidR="008F5F89" w:rsidRDefault="008F5F89" w:rsidP="00AC66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BAF0F" w14:textId="698036B6" w:rsidR="002B41C4" w:rsidRDefault="0085730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6BA1DF3" wp14:editId="2BBB1780">
          <wp:simplePos x="0" y="0"/>
          <wp:positionH relativeFrom="margin">
            <wp:align>right</wp:align>
          </wp:positionH>
          <wp:positionV relativeFrom="paragraph">
            <wp:posOffset>-272415</wp:posOffset>
          </wp:positionV>
          <wp:extent cx="2641600" cy="526901"/>
          <wp:effectExtent l="0" t="0" r="0" b="0"/>
          <wp:wrapNone/>
          <wp:docPr id="64126354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1600" cy="5269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3D135" w14:textId="201EED0C" w:rsidR="002B41C4" w:rsidRDefault="009D6405">
    <w:pPr>
      <w:pStyle w:val="Header"/>
    </w:pPr>
    <w:r>
      <w:rPr>
        <w:noProof/>
      </w:rPr>
      <w:drawing>
        <wp:anchor distT="0" distB="0" distL="114300" distR="114300" simplePos="0" relativeHeight="251658241" behindDoc="0" locked="0" layoutInCell="1" allowOverlap="1" wp14:anchorId="5D78B0F6" wp14:editId="17B391F8">
          <wp:simplePos x="0" y="0"/>
          <wp:positionH relativeFrom="margin">
            <wp:align>right</wp:align>
          </wp:positionH>
          <wp:positionV relativeFrom="paragraph">
            <wp:posOffset>-273685</wp:posOffset>
          </wp:positionV>
          <wp:extent cx="2641600" cy="526901"/>
          <wp:effectExtent l="0" t="0" r="0" b="0"/>
          <wp:wrapNone/>
          <wp:docPr id="48477626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1600" cy="5269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7C34CF"/>
    <w:multiLevelType w:val="hybridMultilevel"/>
    <w:tmpl w:val="815E702E"/>
    <w:lvl w:ilvl="0" w:tplc="0C090001">
      <w:start w:val="1"/>
      <w:numFmt w:val="bullet"/>
      <w:pStyle w:val="DotpointsS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8644B8">
      <w:start w:val="1"/>
      <w:numFmt w:val="bullet"/>
      <w:pStyle w:val="Secondarydotpoin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8072253">
    <w:abstractNumId w:val="0"/>
  </w:num>
  <w:num w:numId="2" w16cid:durableId="1608581506">
    <w:abstractNumId w:val="0"/>
  </w:num>
  <w:num w:numId="3" w16cid:durableId="1761020856">
    <w:abstractNumId w:val="0"/>
  </w:num>
  <w:num w:numId="4" w16cid:durableId="295649565">
    <w:abstractNumId w:val="0"/>
  </w:num>
  <w:num w:numId="5" w16cid:durableId="683635251">
    <w:abstractNumId w:val="0"/>
  </w:num>
  <w:num w:numId="6" w16cid:durableId="599801124">
    <w:abstractNumId w:val="0"/>
  </w:num>
  <w:num w:numId="7" w16cid:durableId="1063018602">
    <w:abstractNumId w:val="0"/>
  </w:num>
  <w:num w:numId="8" w16cid:durableId="2071999240">
    <w:abstractNumId w:val="0"/>
  </w:num>
  <w:num w:numId="9" w16cid:durableId="1330329036">
    <w:abstractNumId w:val="0"/>
  </w:num>
  <w:num w:numId="10" w16cid:durableId="1487742769">
    <w:abstractNumId w:val="0"/>
  </w:num>
  <w:num w:numId="11" w16cid:durableId="2059671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4D7"/>
    <w:rsid w:val="000459A4"/>
    <w:rsid w:val="00080814"/>
    <w:rsid w:val="000A1FFA"/>
    <w:rsid w:val="001150E8"/>
    <w:rsid w:val="0018626D"/>
    <w:rsid w:val="00194889"/>
    <w:rsid w:val="00197EC9"/>
    <w:rsid w:val="001C10AA"/>
    <w:rsid w:val="001D1C13"/>
    <w:rsid w:val="00210A10"/>
    <w:rsid w:val="00217A62"/>
    <w:rsid w:val="002260B1"/>
    <w:rsid w:val="002B41C4"/>
    <w:rsid w:val="002F5820"/>
    <w:rsid w:val="00371D50"/>
    <w:rsid w:val="003C75CC"/>
    <w:rsid w:val="004271D5"/>
    <w:rsid w:val="004707FC"/>
    <w:rsid w:val="004A451A"/>
    <w:rsid w:val="004C2886"/>
    <w:rsid w:val="004F5060"/>
    <w:rsid w:val="005953BE"/>
    <w:rsid w:val="00606047"/>
    <w:rsid w:val="006A4F90"/>
    <w:rsid w:val="006D4C33"/>
    <w:rsid w:val="006E14D5"/>
    <w:rsid w:val="00703FEB"/>
    <w:rsid w:val="0073146D"/>
    <w:rsid w:val="00765D2C"/>
    <w:rsid w:val="00823DD1"/>
    <w:rsid w:val="00857308"/>
    <w:rsid w:val="0089390B"/>
    <w:rsid w:val="00895023"/>
    <w:rsid w:val="008A7EE3"/>
    <w:rsid w:val="008D54F8"/>
    <w:rsid w:val="008F5F89"/>
    <w:rsid w:val="00947354"/>
    <w:rsid w:val="00967ADB"/>
    <w:rsid w:val="009739B8"/>
    <w:rsid w:val="00977001"/>
    <w:rsid w:val="009D6405"/>
    <w:rsid w:val="009F2A61"/>
    <w:rsid w:val="009F5229"/>
    <w:rsid w:val="00A603BB"/>
    <w:rsid w:val="00AC66D8"/>
    <w:rsid w:val="00AE0BCE"/>
    <w:rsid w:val="00AF722B"/>
    <w:rsid w:val="00B01D71"/>
    <w:rsid w:val="00B37697"/>
    <w:rsid w:val="00BA0138"/>
    <w:rsid w:val="00BA2C12"/>
    <w:rsid w:val="00BB4F6A"/>
    <w:rsid w:val="00C063D4"/>
    <w:rsid w:val="00C3500F"/>
    <w:rsid w:val="00C73AD1"/>
    <w:rsid w:val="00C86790"/>
    <w:rsid w:val="00CC2DA4"/>
    <w:rsid w:val="00D64EFC"/>
    <w:rsid w:val="00D9305F"/>
    <w:rsid w:val="00DF4E58"/>
    <w:rsid w:val="00E15976"/>
    <w:rsid w:val="00F934D7"/>
    <w:rsid w:val="00FA2806"/>
    <w:rsid w:val="00FB476A"/>
    <w:rsid w:val="00FF5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69C44C"/>
  <w15:chartTrackingRefBased/>
  <w15:docId w15:val="{085C5A5A-D438-4A64-B7E6-B3ABF700A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venir Next LT Pro" w:eastAsiaTheme="minorHAnsi" w:hAnsi="Avenir Next LT Pro" w:cstheme="minorBidi"/>
        <w:bCs/>
        <w:color w:val="213430" w:themeColor="text1"/>
        <w:sz w:val="22"/>
        <w:szCs w:val="22"/>
        <w:lang w:val="en-NZ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34D7"/>
    <w:pPr>
      <w:spacing w:before="0" w:after="160" w:line="278" w:lineRule="auto"/>
    </w:pPr>
    <w:rPr>
      <w:rFonts w:asciiTheme="minorHAnsi" w:hAnsiTheme="minorHAnsi"/>
      <w:bCs w:val="0"/>
      <w:color w:val="auto"/>
      <w:kern w:val="2"/>
      <w:sz w:val="24"/>
      <w:szCs w:val="24"/>
      <w:lang w:val="en-AU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rsid w:val="00FB476A"/>
    <w:pPr>
      <w:keepNext/>
      <w:keepLines/>
      <w:spacing w:before="240" w:after="120" w:line="240" w:lineRule="auto"/>
      <w:outlineLvl w:val="0"/>
    </w:pPr>
    <w:rPr>
      <w:rFonts w:asciiTheme="majorHAnsi" w:eastAsiaTheme="majorEastAsia" w:hAnsiTheme="majorHAnsi" w:cstheme="majorBidi"/>
      <w:bCs/>
      <w:color w:val="404B85" w:themeColor="accent1" w:themeShade="BF"/>
      <w:kern w:val="0"/>
      <w:sz w:val="32"/>
      <w:szCs w:val="32"/>
      <w:lang w:val="en-NZ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rsid w:val="00FB476A"/>
    <w:pPr>
      <w:keepNext/>
      <w:keepLines/>
      <w:spacing w:before="40" w:after="120" w:line="240" w:lineRule="auto"/>
      <w:outlineLvl w:val="1"/>
    </w:pPr>
    <w:rPr>
      <w:rFonts w:asciiTheme="majorHAnsi" w:eastAsiaTheme="majorEastAsia" w:hAnsiTheme="majorHAnsi" w:cstheme="majorBidi"/>
      <w:bCs/>
      <w:color w:val="404B85" w:themeColor="accent1" w:themeShade="BF"/>
      <w:kern w:val="0"/>
      <w:sz w:val="26"/>
      <w:szCs w:val="26"/>
      <w:lang w:val="en-NZ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722B"/>
    <w:pPr>
      <w:keepNext/>
      <w:keepLines/>
      <w:spacing w:before="40" w:after="120" w:line="240" w:lineRule="auto"/>
      <w:outlineLvl w:val="2"/>
    </w:pPr>
    <w:rPr>
      <w:rFonts w:asciiTheme="majorHAnsi" w:eastAsiaTheme="majorEastAsia" w:hAnsiTheme="majorHAnsi" w:cstheme="majorBidi"/>
      <w:bCs/>
      <w:color w:val="2A3258" w:themeColor="accent1" w:themeShade="7F"/>
      <w:kern w:val="0"/>
      <w:sz w:val="22"/>
      <w:szCs w:val="22"/>
      <w:lang w:val="en-NZ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722B"/>
    <w:pPr>
      <w:keepNext/>
      <w:keepLines/>
      <w:spacing w:before="40" w:after="120" w:line="240" w:lineRule="auto"/>
      <w:outlineLvl w:val="3"/>
    </w:pPr>
    <w:rPr>
      <w:rFonts w:asciiTheme="majorHAnsi" w:eastAsiaTheme="majorEastAsia" w:hAnsiTheme="majorHAnsi" w:cstheme="majorBidi"/>
      <w:bCs/>
      <w:i/>
      <w:iCs/>
      <w:color w:val="404B85" w:themeColor="accent1" w:themeShade="BF"/>
      <w:kern w:val="0"/>
      <w:sz w:val="22"/>
      <w:szCs w:val="22"/>
      <w:lang w:val="en-NZ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722B"/>
    <w:pPr>
      <w:keepNext/>
      <w:keepLines/>
      <w:spacing w:before="80" w:after="40" w:line="240" w:lineRule="auto"/>
      <w:outlineLvl w:val="4"/>
    </w:pPr>
    <w:rPr>
      <w:rFonts w:eastAsiaTheme="majorEastAsia" w:cstheme="majorBidi"/>
      <w:bCs/>
      <w:color w:val="404B85" w:themeColor="accent1" w:themeShade="BF"/>
      <w:kern w:val="0"/>
      <w:sz w:val="22"/>
      <w:szCs w:val="22"/>
      <w:lang w:val="en-NZ"/>
      <w14:ligatures w14:val="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722B"/>
    <w:pPr>
      <w:keepNext/>
      <w:keepLines/>
      <w:spacing w:before="40" w:after="0" w:line="240" w:lineRule="auto"/>
      <w:outlineLvl w:val="5"/>
    </w:pPr>
    <w:rPr>
      <w:rFonts w:eastAsiaTheme="majorEastAsia" w:cstheme="majorBidi"/>
      <w:bCs/>
      <w:i/>
      <w:iCs/>
      <w:color w:val="5A8E83" w:themeColor="text1" w:themeTint="A6"/>
      <w:kern w:val="0"/>
      <w:sz w:val="22"/>
      <w:szCs w:val="22"/>
      <w:lang w:val="en-NZ"/>
      <w14:ligatures w14:val="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722B"/>
    <w:pPr>
      <w:keepNext/>
      <w:keepLines/>
      <w:spacing w:before="40" w:after="0" w:line="240" w:lineRule="auto"/>
      <w:outlineLvl w:val="6"/>
    </w:pPr>
    <w:rPr>
      <w:rFonts w:eastAsiaTheme="majorEastAsia" w:cstheme="majorBidi"/>
      <w:bCs/>
      <w:color w:val="5A8E83" w:themeColor="text1" w:themeTint="A6"/>
      <w:kern w:val="0"/>
      <w:sz w:val="22"/>
      <w:szCs w:val="22"/>
      <w:lang w:val="en-NZ"/>
      <w14:ligatures w14:val="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722B"/>
    <w:pPr>
      <w:keepNext/>
      <w:keepLines/>
      <w:spacing w:after="0" w:line="240" w:lineRule="auto"/>
      <w:outlineLvl w:val="7"/>
    </w:pPr>
    <w:rPr>
      <w:rFonts w:eastAsiaTheme="majorEastAsia" w:cstheme="majorBidi"/>
      <w:bCs/>
      <w:i/>
      <w:iCs/>
      <w:color w:val="3A5B54" w:themeColor="text1" w:themeTint="D8"/>
      <w:kern w:val="0"/>
      <w:sz w:val="22"/>
      <w:szCs w:val="22"/>
      <w:lang w:val="en-NZ"/>
      <w14:ligatures w14:val="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722B"/>
    <w:pPr>
      <w:keepNext/>
      <w:keepLines/>
      <w:spacing w:after="0" w:line="240" w:lineRule="auto"/>
      <w:outlineLvl w:val="8"/>
    </w:pPr>
    <w:rPr>
      <w:rFonts w:eastAsiaTheme="majorEastAsia" w:cstheme="majorBidi"/>
      <w:bCs/>
      <w:color w:val="3A5B54" w:themeColor="text1" w:themeTint="D8"/>
      <w:kern w:val="0"/>
      <w:sz w:val="22"/>
      <w:szCs w:val="22"/>
      <w:lang w:val="en-NZ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autoRedefine/>
    <w:uiPriority w:val="99"/>
    <w:unhideWhenUsed/>
    <w:qFormat/>
    <w:rsid w:val="00AF722B"/>
    <w:pPr>
      <w:tabs>
        <w:tab w:val="center" w:pos="4513"/>
        <w:tab w:val="right" w:pos="9026"/>
      </w:tabs>
      <w:spacing w:before="120" w:after="120" w:line="240" w:lineRule="auto"/>
    </w:pPr>
    <w:rPr>
      <w:rFonts w:ascii="Avenir Next LT Pro" w:hAnsi="Avenir Next LT Pro"/>
      <w:bCs/>
      <w:color w:val="213430" w:themeColor="text1"/>
      <w:kern w:val="0"/>
      <w:sz w:val="22"/>
      <w:szCs w:val="22"/>
      <w:lang w:val="en-NZ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AF722B"/>
  </w:style>
  <w:style w:type="paragraph" w:styleId="Footer">
    <w:name w:val="footer"/>
    <w:basedOn w:val="Normal"/>
    <w:link w:val="FooterChar"/>
    <w:autoRedefine/>
    <w:uiPriority w:val="99"/>
    <w:unhideWhenUsed/>
    <w:qFormat/>
    <w:rsid w:val="00AF722B"/>
    <w:pPr>
      <w:tabs>
        <w:tab w:val="right" w:pos="9412"/>
      </w:tabs>
      <w:spacing w:before="120" w:after="120" w:line="240" w:lineRule="auto"/>
      <w:ind w:right="360"/>
    </w:pPr>
    <w:rPr>
      <w:rFonts w:ascii="Avenir LT Std 65 Medium" w:hAnsi="Avenir LT Std 65 Medium"/>
      <w:bCs/>
      <w:color w:val="213430" w:themeColor="text1"/>
      <w:kern w:val="0"/>
      <w:sz w:val="22"/>
      <w:szCs w:val="22"/>
      <w:lang w:val="en-NZ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AF722B"/>
    <w:rPr>
      <w:rFonts w:ascii="Avenir LT Std 65 Medium" w:hAnsi="Avenir LT Std 65 Medium"/>
    </w:rPr>
  </w:style>
  <w:style w:type="character" w:styleId="PageNumber">
    <w:name w:val="page number"/>
    <w:basedOn w:val="DefaultParagraphFont"/>
    <w:uiPriority w:val="99"/>
    <w:semiHidden/>
    <w:unhideWhenUsed/>
    <w:rsid w:val="00977001"/>
  </w:style>
  <w:style w:type="table" w:styleId="TableGrid">
    <w:name w:val="Table Grid"/>
    <w:basedOn w:val="TableNormal"/>
    <w:uiPriority w:val="39"/>
    <w:rsid w:val="00FB476A"/>
    <w:pPr>
      <w:spacing w:after="0"/>
    </w:pPr>
    <w:rPr>
      <w:rFonts w:asciiTheme="minorHAnsi" w:hAnsiTheme="minorHAnsi"/>
      <w:color w:val="auto"/>
      <w:sz w:val="24"/>
      <w:szCs w:val="24"/>
      <w:lang w:val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Heading1">
    <w:name w:val="SI Heading 1"/>
    <w:basedOn w:val="Heading1"/>
    <w:qFormat/>
    <w:rsid w:val="00AF722B"/>
    <w:pPr>
      <w:spacing w:before="120" w:after="240"/>
    </w:pPr>
    <w:rPr>
      <w:rFonts w:ascii="Avenir Next LT Pro Demi" w:hAnsi="Avenir Next LT Pro Demi"/>
      <w:b/>
      <w:bCs w:val="0"/>
      <w:color w:val="213430" w:themeColor="text1"/>
      <w:sz w:val="56"/>
      <w:szCs w:val="56"/>
    </w:rPr>
  </w:style>
  <w:style w:type="paragraph" w:customStyle="1" w:styleId="SIHeading2">
    <w:name w:val="SI Heading 2"/>
    <w:basedOn w:val="Heading2"/>
    <w:next w:val="SIBodyText"/>
    <w:qFormat/>
    <w:rsid w:val="00AF722B"/>
    <w:rPr>
      <w:rFonts w:ascii="Avenir Next LT Pro Demi" w:hAnsi="Avenir Next LT Pro Demi"/>
      <w:b/>
      <w:bCs w:val="0"/>
      <w:color w:val="213430" w:themeColor="text1"/>
      <w:sz w:val="48"/>
      <w:szCs w:val="48"/>
    </w:rPr>
  </w:style>
  <w:style w:type="paragraph" w:customStyle="1" w:styleId="SIHeading3">
    <w:name w:val="SI Heading 3"/>
    <w:basedOn w:val="Heading3"/>
    <w:qFormat/>
    <w:rsid w:val="00AF722B"/>
    <w:pPr>
      <w:spacing w:after="240"/>
    </w:pPr>
    <w:rPr>
      <w:rFonts w:ascii="Avenir Next LT Pro Demi" w:hAnsi="Avenir Next LT Pro Demi"/>
      <w:b/>
      <w:bCs w:val="0"/>
      <w:color w:val="213430" w:themeColor="text1"/>
      <w:sz w:val="36"/>
      <w:szCs w:val="36"/>
    </w:rPr>
  </w:style>
  <w:style w:type="paragraph" w:customStyle="1" w:styleId="SIHeading4">
    <w:name w:val="SI Heading 4"/>
    <w:basedOn w:val="Heading4"/>
    <w:next w:val="SIBodyText"/>
    <w:autoRedefine/>
    <w:qFormat/>
    <w:rsid w:val="00AF722B"/>
    <w:pPr>
      <w:spacing w:after="200"/>
    </w:pPr>
    <w:rPr>
      <w:rFonts w:ascii="Avenir LT Std 45 Book" w:hAnsi="Avenir LT Std 45 Book"/>
      <w:b/>
      <w:bCs w:val="0"/>
      <w:i w:val="0"/>
      <w:color w:val="213430" w:themeColor="text1"/>
      <w:sz w:val="28"/>
      <w:szCs w:val="28"/>
    </w:rPr>
  </w:style>
  <w:style w:type="paragraph" w:customStyle="1" w:styleId="SIBodyText">
    <w:name w:val="SI Body Text"/>
    <w:basedOn w:val="BodyTextSI"/>
    <w:autoRedefine/>
    <w:qFormat/>
    <w:rsid w:val="00FF5474"/>
    <w:pPr>
      <w:spacing w:before="40" w:after="40" w:line="240" w:lineRule="auto"/>
    </w:pPr>
    <w:rPr>
      <w:rFonts w:asciiTheme="minorHAnsi" w:hAnsiTheme="minorHAnsi"/>
      <w:bCs w:val="0"/>
      <w:color w:val="auto"/>
      <w:kern w:val="2"/>
      <w:sz w:val="18"/>
      <w:szCs w:val="18"/>
      <w:lang w:val="en-AU"/>
      <w14:ligatures w14:val="standardContextual"/>
    </w:rPr>
  </w:style>
  <w:style w:type="paragraph" w:customStyle="1" w:styleId="SITableHeading1">
    <w:name w:val="SI Table Heading 1"/>
    <w:basedOn w:val="Normal"/>
    <w:qFormat/>
    <w:rsid w:val="00AF722B"/>
    <w:pPr>
      <w:spacing w:before="200" w:after="200" w:line="240" w:lineRule="auto"/>
    </w:pPr>
    <w:rPr>
      <w:rFonts w:ascii="Avenir Next LT Pro Demi" w:hAnsi="Avenir Next LT Pro Demi"/>
      <w:b/>
      <w:color w:val="4C7D2C" w:themeColor="accent5"/>
      <w:kern w:val="0"/>
      <w:sz w:val="22"/>
      <w:szCs w:val="22"/>
      <w:lang w:val="en-NZ"/>
      <w14:ligatures w14:val="none"/>
    </w:rPr>
  </w:style>
  <w:style w:type="paragraph" w:customStyle="1" w:styleId="SITableHeading2">
    <w:name w:val="SI Table Heading 2"/>
    <w:basedOn w:val="Normal"/>
    <w:qFormat/>
    <w:rsid w:val="00AF722B"/>
    <w:pPr>
      <w:spacing w:before="200" w:after="240" w:line="240" w:lineRule="auto"/>
      <w:ind w:left="57"/>
    </w:pPr>
    <w:rPr>
      <w:rFonts w:ascii="Avenir Next LT Pro Demi" w:hAnsi="Avenir Next LT Pro Demi" w:cs="Open Sans"/>
      <w:bCs/>
      <w:color w:val="4C7D2C" w:themeColor="accent5"/>
      <w:kern w:val="0"/>
      <w:sz w:val="21"/>
      <w:szCs w:val="21"/>
      <w:lang w:val="en-NZ"/>
      <w14:ligatures w14:val="none"/>
    </w:rPr>
  </w:style>
  <w:style w:type="paragraph" w:customStyle="1" w:styleId="SITableBody">
    <w:name w:val="SI Table Body"/>
    <w:basedOn w:val="Normal"/>
    <w:qFormat/>
    <w:rsid w:val="00AF722B"/>
    <w:pPr>
      <w:spacing w:before="200" w:after="240" w:line="240" w:lineRule="auto"/>
      <w:ind w:left="57"/>
    </w:pPr>
    <w:rPr>
      <w:rFonts w:ascii="Avenir Next LT Pro" w:hAnsi="Avenir Next LT Pro"/>
      <w:bCs/>
      <w:color w:val="1E3531"/>
      <w:kern w:val="0"/>
      <w:sz w:val="21"/>
      <w:szCs w:val="21"/>
      <w:lang w:val="en-NZ"/>
      <w14:ligatures w14:val="none"/>
    </w:rPr>
  </w:style>
  <w:style w:type="paragraph" w:customStyle="1" w:styleId="BodyTextSI">
    <w:name w:val="Body Text SI"/>
    <w:basedOn w:val="Normal"/>
    <w:link w:val="BodyTextSIChar"/>
    <w:qFormat/>
    <w:rsid w:val="00AF722B"/>
    <w:pPr>
      <w:spacing w:before="120" w:after="120" w:line="276" w:lineRule="auto"/>
    </w:pPr>
    <w:rPr>
      <w:rFonts w:ascii="Avenir Next LT Pro" w:hAnsi="Avenir Next LT Pro"/>
      <w:bCs/>
      <w:color w:val="213430" w:themeColor="text1"/>
      <w:kern w:val="0"/>
      <w:sz w:val="22"/>
      <w:szCs w:val="22"/>
      <w:lang w:val="en-NZ"/>
      <w14:ligatures w14:val="none"/>
    </w:rPr>
  </w:style>
  <w:style w:type="character" w:customStyle="1" w:styleId="BodyTextSIChar">
    <w:name w:val="Body Text SI Char"/>
    <w:basedOn w:val="DefaultParagraphFont"/>
    <w:link w:val="BodyTextSI"/>
    <w:rsid w:val="00AF722B"/>
  </w:style>
  <w:style w:type="paragraph" w:customStyle="1" w:styleId="PullQuoteSI">
    <w:name w:val="Pull Quote SI"/>
    <w:basedOn w:val="Normal"/>
    <w:qFormat/>
    <w:rsid w:val="00AF722B"/>
    <w:pPr>
      <w:spacing w:before="120" w:after="360" w:line="240" w:lineRule="auto"/>
      <w:ind w:right="794"/>
    </w:pPr>
    <w:rPr>
      <w:rFonts w:ascii="Avenir Next LT Pro" w:hAnsi="Avenir Next LT Pro"/>
      <w:b/>
      <w:color w:val="4C7D2C" w:themeColor="accent5"/>
      <w:kern w:val="0"/>
      <w:sz w:val="28"/>
      <w:szCs w:val="28"/>
      <w:lang w:val="en-NZ"/>
      <w14:ligatures w14:val="none"/>
    </w:rPr>
  </w:style>
  <w:style w:type="paragraph" w:customStyle="1" w:styleId="DotpointsSI">
    <w:name w:val="Dot points SI"/>
    <w:basedOn w:val="BodyTextSI"/>
    <w:link w:val="DotpointsSIChar"/>
    <w:qFormat/>
    <w:rsid w:val="00AF722B"/>
    <w:pPr>
      <w:numPr>
        <w:numId w:val="11"/>
      </w:numPr>
      <w:contextualSpacing/>
    </w:pPr>
  </w:style>
  <w:style w:type="character" w:customStyle="1" w:styleId="DotpointsSIChar">
    <w:name w:val="Dot points SI Char"/>
    <w:basedOn w:val="BodyTextSIChar"/>
    <w:link w:val="DotpointsSI"/>
    <w:rsid w:val="00AF722B"/>
  </w:style>
  <w:style w:type="paragraph" w:customStyle="1" w:styleId="Secondarydotpoint">
    <w:name w:val="Secondary dot point"/>
    <w:basedOn w:val="DotpointsSI"/>
    <w:link w:val="SecondarydotpointChar"/>
    <w:qFormat/>
    <w:rsid w:val="00AF722B"/>
    <w:pPr>
      <w:numPr>
        <w:ilvl w:val="1"/>
      </w:numPr>
    </w:pPr>
  </w:style>
  <w:style w:type="character" w:customStyle="1" w:styleId="SecondarydotpointChar">
    <w:name w:val="Secondary dot point Char"/>
    <w:basedOn w:val="DotpointsSIChar"/>
    <w:link w:val="Secondarydotpoint"/>
    <w:rsid w:val="00AF722B"/>
  </w:style>
  <w:style w:type="paragraph" w:customStyle="1" w:styleId="SITableBodysmall">
    <w:name w:val="SI Table Body (small)"/>
    <w:basedOn w:val="Normal"/>
    <w:qFormat/>
    <w:rsid w:val="00AF722B"/>
    <w:pPr>
      <w:spacing w:before="120" w:after="120" w:line="240" w:lineRule="auto"/>
      <w:ind w:left="57"/>
    </w:pPr>
    <w:rPr>
      <w:rFonts w:ascii="Avenir Next LT Pro" w:hAnsi="Avenir Next LT Pro"/>
      <w:bCs/>
      <w:color w:val="1E3531"/>
      <w:kern w:val="0"/>
      <w:sz w:val="19"/>
      <w:szCs w:val="21"/>
      <w:lang w:val="en-NZ"/>
      <w14:ligatures w14:val="none"/>
    </w:rPr>
  </w:style>
  <w:style w:type="paragraph" w:customStyle="1" w:styleId="SITableHeading2small">
    <w:name w:val="SI Table Heading 2 (small)"/>
    <w:basedOn w:val="SITableHeading2"/>
    <w:rsid w:val="00FB476A"/>
    <w:pPr>
      <w:spacing w:before="0" w:after="0"/>
    </w:pPr>
    <w:rPr>
      <w:sz w:val="19"/>
    </w:rPr>
  </w:style>
  <w:style w:type="paragraph" w:customStyle="1" w:styleId="SITableHeading1small">
    <w:name w:val="SI Table Heading 1 (small)"/>
    <w:basedOn w:val="Normal"/>
    <w:qFormat/>
    <w:rsid w:val="00AF722B"/>
    <w:pPr>
      <w:spacing w:before="40" w:after="40" w:line="240" w:lineRule="auto"/>
    </w:pPr>
    <w:rPr>
      <w:rFonts w:ascii="Avenir Next LT Pro Demi" w:hAnsi="Avenir Next LT Pro Demi"/>
      <w:b/>
      <w:color w:val="4C7D2C" w:themeColor="accent5"/>
      <w:kern w:val="0"/>
      <w:sz w:val="20"/>
      <w:szCs w:val="22"/>
      <w:lang w:val="en-NZ"/>
      <w14:ligatures w14:val="none"/>
    </w:rPr>
  </w:style>
  <w:style w:type="paragraph" w:customStyle="1" w:styleId="Highlightbox">
    <w:name w:val="Highlight box"/>
    <w:basedOn w:val="Normal"/>
    <w:link w:val="HighlightboxChar"/>
    <w:autoRedefine/>
    <w:qFormat/>
    <w:rsid w:val="00AF722B"/>
    <w:pPr>
      <w:pBdr>
        <w:top w:val="single" w:sz="12" w:space="10" w:color="4C7D2C"/>
        <w:left w:val="single" w:sz="12" w:space="10" w:color="4C7D2C"/>
        <w:bottom w:val="single" w:sz="12" w:space="10" w:color="4C7D2C"/>
        <w:right w:val="single" w:sz="12" w:space="10" w:color="4C7D2C"/>
      </w:pBdr>
      <w:spacing w:before="120" w:after="360" w:line="240" w:lineRule="auto"/>
      <w:contextualSpacing/>
    </w:pPr>
    <w:rPr>
      <w:rFonts w:ascii="Avenir Next LT Pro" w:hAnsi="Avenir Next LT Pro"/>
      <w:bCs/>
      <w:color w:val="1E3531"/>
      <w:kern w:val="0"/>
      <w:sz w:val="22"/>
      <w:szCs w:val="28"/>
      <w:lang w:val="en-NZ"/>
      <w14:ligatures w14:val="none"/>
    </w:rPr>
  </w:style>
  <w:style w:type="character" w:customStyle="1" w:styleId="HighlightboxChar">
    <w:name w:val="Highlight box Char"/>
    <w:basedOn w:val="DefaultParagraphFont"/>
    <w:link w:val="Highlightbox"/>
    <w:rsid w:val="00AF722B"/>
    <w:rPr>
      <w:color w:val="1E3531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FB476A"/>
    <w:rPr>
      <w:rFonts w:asciiTheme="majorHAnsi" w:eastAsiaTheme="majorEastAsia" w:hAnsiTheme="majorHAnsi" w:cstheme="majorBidi"/>
      <w:color w:val="404B85" w:themeColor="accent1" w:themeShade="BF"/>
      <w:kern w:val="0"/>
      <w:sz w:val="32"/>
      <w:szCs w:val="32"/>
      <w:lang w:val="en-AU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476A"/>
    <w:rPr>
      <w:rFonts w:asciiTheme="majorHAnsi" w:eastAsiaTheme="majorEastAsia" w:hAnsiTheme="majorHAnsi" w:cstheme="majorBidi"/>
      <w:color w:val="404B85" w:themeColor="accent1" w:themeShade="BF"/>
      <w:kern w:val="0"/>
      <w:sz w:val="26"/>
      <w:szCs w:val="26"/>
      <w:lang w:val="en-AU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722B"/>
    <w:rPr>
      <w:rFonts w:asciiTheme="majorHAnsi" w:eastAsiaTheme="majorEastAsia" w:hAnsiTheme="majorHAnsi" w:cstheme="majorBidi"/>
      <w:color w:val="2A3258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722B"/>
    <w:rPr>
      <w:rFonts w:asciiTheme="majorHAnsi" w:eastAsiaTheme="majorEastAsia" w:hAnsiTheme="majorHAnsi" w:cstheme="majorBidi"/>
      <w:i/>
      <w:iCs/>
      <w:color w:val="404B85" w:themeColor="accent1" w:themeShade="BF"/>
    </w:rPr>
  </w:style>
  <w:style w:type="paragraph" w:styleId="Title">
    <w:name w:val="Title"/>
    <w:basedOn w:val="Normal"/>
    <w:next w:val="Normal"/>
    <w:link w:val="TitleChar"/>
    <w:uiPriority w:val="10"/>
    <w:qFormat/>
    <w:rsid w:val="00AF722B"/>
    <w:pPr>
      <w:spacing w:after="80" w:line="240" w:lineRule="auto"/>
      <w:contextualSpacing/>
    </w:pPr>
    <w:rPr>
      <w:rFonts w:asciiTheme="majorHAnsi" w:eastAsiaTheme="majorEastAsia" w:hAnsiTheme="majorHAnsi" w:cstheme="majorBidi"/>
      <w:bCs/>
      <w:spacing w:val="-10"/>
      <w:kern w:val="28"/>
      <w:sz w:val="56"/>
      <w:szCs w:val="56"/>
      <w:lang w:val="en-NZ"/>
      <w14:ligatures w14:val="none"/>
    </w:rPr>
  </w:style>
  <w:style w:type="character" w:customStyle="1" w:styleId="TitleChar">
    <w:name w:val="Title Char"/>
    <w:basedOn w:val="DefaultParagraphFont"/>
    <w:link w:val="Title"/>
    <w:uiPriority w:val="10"/>
    <w:rsid w:val="00AF722B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722B"/>
    <w:pPr>
      <w:numPr>
        <w:ilvl w:val="1"/>
      </w:numPr>
      <w:spacing w:before="120" w:line="240" w:lineRule="auto"/>
      <w:ind w:left="714" w:hanging="357"/>
    </w:pPr>
    <w:rPr>
      <w:rFonts w:eastAsiaTheme="majorEastAsia" w:cstheme="majorBidi"/>
      <w:bCs/>
      <w:color w:val="5A8E83" w:themeColor="text1" w:themeTint="A6"/>
      <w:spacing w:val="15"/>
      <w:kern w:val="0"/>
      <w:sz w:val="28"/>
      <w:szCs w:val="28"/>
      <w:lang w:val="en-NZ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11"/>
    <w:rsid w:val="00AF722B"/>
    <w:rPr>
      <w:rFonts w:asciiTheme="minorHAnsi" w:eastAsiaTheme="majorEastAsia" w:hAnsiTheme="minorHAnsi" w:cstheme="majorBidi"/>
      <w:color w:val="5A8E83" w:themeColor="text1" w:themeTint="A6"/>
      <w:spacing w:val="15"/>
      <w:sz w:val="28"/>
      <w:szCs w:val="28"/>
    </w:rPr>
  </w:style>
  <w:style w:type="paragraph" w:styleId="ListParagraph">
    <w:name w:val="List Paragraph"/>
    <w:basedOn w:val="Normal"/>
    <w:uiPriority w:val="34"/>
    <w:qFormat/>
    <w:rsid w:val="00AF722B"/>
    <w:pPr>
      <w:spacing w:before="120" w:after="120" w:line="240" w:lineRule="auto"/>
      <w:ind w:left="720"/>
      <w:contextualSpacing/>
    </w:pPr>
    <w:rPr>
      <w:rFonts w:ascii="Avenir Next LT Pro" w:hAnsi="Avenir Next LT Pro"/>
      <w:bCs/>
      <w:color w:val="213430" w:themeColor="text1"/>
      <w:kern w:val="0"/>
      <w:sz w:val="22"/>
      <w:szCs w:val="22"/>
      <w:lang w:val="en-NZ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AF722B"/>
    <w:pPr>
      <w:spacing w:before="160" w:line="240" w:lineRule="auto"/>
      <w:jc w:val="center"/>
    </w:pPr>
    <w:rPr>
      <w:rFonts w:ascii="Avenir Next LT Pro" w:hAnsi="Avenir Next LT Pro"/>
      <w:bCs/>
      <w:i/>
      <w:iCs/>
      <w:color w:val="4A756C" w:themeColor="text1" w:themeTint="BF"/>
      <w:kern w:val="0"/>
      <w:sz w:val="22"/>
      <w:szCs w:val="22"/>
      <w:lang w:val="en-NZ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AF722B"/>
    <w:rPr>
      <w:i/>
      <w:iCs/>
      <w:color w:val="4A756C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722B"/>
    <w:pPr>
      <w:pBdr>
        <w:top w:val="single" w:sz="4" w:space="10" w:color="404B85" w:themeColor="accent1" w:themeShade="BF"/>
        <w:bottom w:val="single" w:sz="4" w:space="10" w:color="404B85" w:themeColor="accent1" w:themeShade="BF"/>
      </w:pBdr>
      <w:spacing w:before="360" w:after="360" w:line="240" w:lineRule="auto"/>
      <w:ind w:left="864" w:right="864"/>
      <w:jc w:val="center"/>
    </w:pPr>
    <w:rPr>
      <w:rFonts w:ascii="Avenir Next LT Pro" w:hAnsi="Avenir Next LT Pro"/>
      <w:bCs/>
      <w:i/>
      <w:iCs/>
      <w:color w:val="404B85" w:themeColor="accent1" w:themeShade="BF"/>
      <w:kern w:val="0"/>
      <w:sz w:val="22"/>
      <w:szCs w:val="22"/>
      <w:lang w:val="en-NZ"/>
      <w14:ligatures w14:val="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722B"/>
    <w:rPr>
      <w:i/>
      <w:iCs/>
      <w:color w:val="404B85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AF722B"/>
    <w:rPr>
      <w:i/>
      <w:iCs/>
      <w:color w:val="404B8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722B"/>
    <w:rPr>
      <w:b/>
      <w:bCs w:val="0"/>
      <w:smallCaps/>
      <w:color w:val="404B85" w:themeColor="accent1" w:themeShade="BF"/>
      <w:spacing w:val="5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722B"/>
    <w:rPr>
      <w:rFonts w:asciiTheme="minorHAnsi" w:eastAsiaTheme="majorEastAsia" w:hAnsiTheme="minorHAnsi" w:cstheme="majorBidi"/>
      <w:color w:val="404B8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722B"/>
    <w:rPr>
      <w:rFonts w:asciiTheme="minorHAnsi" w:eastAsiaTheme="majorEastAsia" w:hAnsiTheme="minorHAnsi" w:cstheme="majorBidi"/>
      <w:i/>
      <w:iCs/>
      <w:color w:val="5A8E83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722B"/>
    <w:rPr>
      <w:rFonts w:asciiTheme="minorHAnsi" w:eastAsiaTheme="majorEastAsia" w:hAnsiTheme="minorHAnsi" w:cstheme="majorBidi"/>
      <w:color w:val="5A8E83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722B"/>
    <w:rPr>
      <w:rFonts w:asciiTheme="minorHAnsi" w:eastAsiaTheme="majorEastAsia" w:hAnsiTheme="minorHAnsi" w:cstheme="majorBidi"/>
      <w:i/>
      <w:iCs/>
      <w:color w:val="3A5B54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722B"/>
    <w:rPr>
      <w:rFonts w:asciiTheme="minorHAnsi" w:eastAsiaTheme="majorEastAsia" w:hAnsiTheme="minorHAnsi" w:cstheme="majorBidi"/>
      <w:color w:val="3A5B54" w:themeColor="text1" w:themeTint="D8"/>
    </w:rPr>
  </w:style>
  <w:style w:type="table" w:styleId="GridTable1Light-Accent5">
    <w:name w:val="Grid Table 1 Light Accent 5"/>
    <w:basedOn w:val="TableNormal"/>
    <w:uiPriority w:val="46"/>
    <w:rsid w:val="004C2886"/>
    <w:pPr>
      <w:spacing w:after="0"/>
    </w:pPr>
    <w:tblPr>
      <w:tblStyleRowBandSize w:val="1"/>
      <w:tblStyleColBandSize w:val="1"/>
      <w:tblBorders>
        <w:top w:val="single" w:sz="4" w:space="0" w:color="B3DB99" w:themeColor="accent5" w:themeTint="66"/>
        <w:left w:val="single" w:sz="4" w:space="0" w:color="B3DB99" w:themeColor="accent5" w:themeTint="66"/>
        <w:bottom w:val="single" w:sz="4" w:space="0" w:color="B3DB99" w:themeColor="accent5" w:themeTint="66"/>
        <w:right w:val="single" w:sz="4" w:space="0" w:color="B3DB99" w:themeColor="accent5" w:themeTint="66"/>
        <w:insideH w:val="single" w:sz="4" w:space="0" w:color="B3DB99" w:themeColor="accent5" w:themeTint="66"/>
        <w:insideV w:val="single" w:sz="4" w:space="0" w:color="B3DB99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C967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C967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Itablebase">
    <w:name w:val="SI table base"/>
    <w:basedOn w:val="TableNormal"/>
    <w:uiPriority w:val="99"/>
    <w:rsid w:val="00BB4F6A"/>
    <w:pPr>
      <w:spacing w:before="0" w:after="0"/>
    </w:pPr>
    <w:tblPr>
      <w:tblBorders>
        <w:bottom w:val="single" w:sz="6" w:space="0" w:color="4C7D2C" w:themeColor="accent5"/>
        <w:insideH w:val="single" w:sz="4" w:space="0" w:color="4C7D2C" w:themeColor="accent5"/>
      </w:tblBorders>
      <w:tblCellMar>
        <w:top w:w="57" w:type="dxa"/>
        <w:bottom w:w="57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SI theme">
  <a:themeElements>
    <a:clrScheme name="SI colours">
      <a:dk1>
        <a:srgbClr val="213430"/>
      </a:dk1>
      <a:lt1>
        <a:srgbClr val="E8E4DB"/>
      </a:lt1>
      <a:dk2>
        <a:srgbClr val="000000"/>
      </a:dk2>
      <a:lt2>
        <a:srgbClr val="FFFFFF"/>
      </a:lt2>
      <a:accent1>
        <a:srgbClr val="5967AF"/>
      </a:accent1>
      <a:accent2>
        <a:srgbClr val="8AC75F"/>
      </a:accent2>
      <a:accent3>
        <a:srgbClr val="F3722A"/>
      </a:accent3>
      <a:accent4>
        <a:srgbClr val="D6D525"/>
      </a:accent4>
      <a:accent5>
        <a:srgbClr val="4C7D2C"/>
      </a:accent5>
      <a:accent6>
        <a:srgbClr val="8C6B82"/>
      </a:accent6>
      <a:hlink>
        <a:srgbClr val="4C7D2C"/>
      </a:hlink>
      <a:folHlink>
        <a:srgbClr val="F3722A"/>
      </a:folHlink>
    </a:clrScheme>
    <a:fontScheme name="SI fonts">
      <a:majorFont>
        <a:latin typeface="Avenir Next LT Pro Demi"/>
        <a:ea typeface=""/>
        <a:cs typeface=""/>
      </a:majorFont>
      <a:minorFont>
        <a:latin typeface="Avenir Next LT Pr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D62925AD74D144B2C0C56628890F7F" ma:contentTypeVersion="13" ma:contentTypeDescription="Create a new document." ma:contentTypeScope="" ma:versionID="91849d12e99c175d5784946afb83e940">
  <xsd:schema xmlns:xsd="http://www.w3.org/2001/XMLSchema" xmlns:xs="http://www.w3.org/2001/XMLSchema" xmlns:p="http://schemas.microsoft.com/office/2006/metadata/properties" xmlns:ns1="http://schemas.microsoft.com/sharepoint/v3" xmlns:ns2="e1f55c05-1db4-4a40-adea-70358892ff43" xmlns:ns3="6bdf77cc-ed93-4555-88a1-439ef7035900" targetNamespace="http://schemas.microsoft.com/office/2006/metadata/properties" ma:root="true" ma:fieldsID="a2ddbee867df90cab0a63c75dcf922d0" ns1:_="" ns2:_="" ns3:_="">
    <xsd:import namespace="http://schemas.microsoft.com/sharepoint/v3"/>
    <xsd:import namespace="e1f55c05-1db4-4a40-adea-70358892ff43"/>
    <xsd:import namespace="6bdf77cc-ed93-4555-88a1-439ef7035900"/>
    <xsd:element name="properties">
      <xsd:complexType>
        <xsd:sequence>
          <xsd:element name="documentManagement">
            <xsd:complexType>
              <xsd:all>
                <xsd:element ref="ns2:File_x0020_Category" minOccurs="0"/>
                <xsd:element ref="ns1:AssignedTo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9" nillable="true" ma:displayName="Assigned To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55c05-1db4-4a40-adea-70358892ff43" elementFormDefault="qualified">
    <xsd:import namespace="http://schemas.microsoft.com/office/2006/documentManagement/types"/>
    <xsd:import namespace="http://schemas.microsoft.com/office/infopath/2007/PartnerControls"/>
    <xsd:element name="File_x0020_Category" ma:index="8" nillable="true" ma:displayName="Category" ma:format="Dropdown" ma:internalName="File_x0020_Category">
      <xsd:simpleType>
        <xsd:restriction base="dms:Choice">
          <xsd:enumeration value="TC Documents"/>
          <xsd:enumeration value="Research"/>
          <xsd:enumeration value="Broad Consultation Documents"/>
          <xsd:enumeration value="Consensus Gathering"/>
          <xsd:enumeration value="Project Documents"/>
          <xsd:enumeration value="Kick Off/Stage Gate"/>
          <xsd:enumeration value="AMP templates"/>
          <xsd:enumeration value="Site Visits"/>
          <xsd:enumeration value="CVIG"/>
          <xsd:enumeration value="Finalisation"/>
          <xsd:enumeration value="SME WG"/>
          <xsd:enumeration value="Skills Review"/>
          <xsd:enumeration value="ZZZ.ARCHIVE"/>
        </xsd:restriction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8fb97a92-d613-46d6-96e7-cc0fd526c0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df77cc-ed93-4555-88a1-439ef703590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a2235e8-f243-402e-bc5b-a51954ac86a1}" ma:internalName="TaxCatchAll" ma:showField="CatchAllData" ma:web="6bdf77cc-ed93-4555-88a1-439ef7035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TaxCatchAll xmlns="6bdf77cc-ed93-4555-88a1-439ef7035900" xsi:nil="true"/>
    <lcf76f155ced4ddcb4097134ff3c332f xmlns="e1f55c05-1db4-4a40-adea-70358892ff43">
      <Terms xmlns="http://schemas.microsoft.com/office/infopath/2007/PartnerControls"/>
    </lcf76f155ced4ddcb4097134ff3c332f>
    <File_x0020_Category xmlns="e1f55c05-1db4-4a40-adea-70358892ff43">Skills Review</File_x0020_Category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B6ACBD-0A65-4DFD-AB75-1621E2749E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1f55c05-1db4-4a40-adea-70358892ff43"/>
    <ds:schemaRef ds:uri="6bdf77cc-ed93-4555-88a1-439ef70359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9D0B0E-7132-49DA-A117-921228E1D3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bdf77cc-ed93-4555-88a1-439ef7035900"/>
    <ds:schemaRef ds:uri="e1f55c05-1db4-4a40-adea-70358892ff43"/>
  </ds:schemaRefs>
</ds:datastoreItem>
</file>

<file path=customXml/itemProps3.xml><?xml version="1.0" encoding="utf-8"?>
<ds:datastoreItem xmlns:ds="http://schemas.openxmlformats.org/officeDocument/2006/customXml" ds:itemID="{7F75CB71-4817-4448-9B7F-1D0C54489D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11</Pages>
  <Words>1971</Words>
  <Characters>13522</Characters>
  <Application>Microsoft Office Word</Application>
  <DocSecurity>0</DocSecurity>
  <Lines>676</Lines>
  <Paragraphs>276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Danni McDonald</dc:creator>
  <cp:keywords/>
  <dc:description/>
  <cp:lastModifiedBy>Lucinda Colman</cp:lastModifiedBy>
  <cp:revision>26</cp:revision>
  <dcterms:created xsi:type="dcterms:W3CDTF">2026-05-14T01:29:00Z</dcterms:created>
  <dcterms:modified xsi:type="dcterms:W3CDTF">2026-06-11T01:16:00Z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0x01010093D62925AD74D144B2C0C56628890F7F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